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8A0" w:rsidRDefault="00DF08A0" w:rsidP="00DF08A0">
      <w:pPr>
        <w:pStyle w:val="Bezproreda"/>
      </w:pPr>
      <w:r>
        <w:object w:dxaOrig="1748" w:dyaOrig="2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5pt;height:65.05pt" o:ole="">
            <v:imagedata r:id="rId6" o:title=""/>
          </v:shape>
          <o:OLEObject Type="Embed" ProgID="CorelDRAW.Graphic.13" ShapeID="_x0000_i1025" DrawAspect="Content" ObjectID="_1739873136" r:id="rId7"/>
        </w:object>
      </w:r>
    </w:p>
    <w:p w:rsidR="00DF08A0" w:rsidRPr="00DF08A0" w:rsidRDefault="00DF08A0" w:rsidP="00DF08A0">
      <w:pPr>
        <w:pStyle w:val="Bezproreda"/>
        <w:rPr>
          <w:rFonts w:ascii="Times New Roman" w:hAnsi="Times New Roman" w:cs="Times New Roman"/>
          <w:b/>
          <w:sz w:val="28"/>
          <w:szCs w:val="28"/>
        </w:rPr>
      </w:pPr>
      <w:r w:rsidRPr="00DF08A0">
        <w:rPr>
          <w:rFonts w:ascii="Times New Roman" w:hAnsi="Times New Roman" w:cs="Times New Roman"/>
          <w:b/>
          <w:sz w:val="28"/>
          <w:szCs w:val="28"/>
        </w:rPr>
        <w:t>DOM ZA STARIJE I NEMOĆNE OSOBE VARAŽDIN</w:t>
      </w:r>
    </w:p>
    <w:p w:rsidR="00DF08A0" w:rsidRPr="00DF08A0" w:rsidRDefault="00DF08A0" w:rsidP="00DF08A0">
      <w:pPr>
        <w:pStyle w:val="Bezproreda"/>
        <w:rPr>
          <w:rFonts w:ascii="Times New Roman" w:hAnsi="Times New Roman" w:cs="Times New Roman"/>
          <w:b/>
          <w:sz w:val="28"/>
          <w:szCs w:val="28"/>
        </w:rPr>
      </w:pPr>
      <w:r w:rsidRPr="00DF08A0">
        <w:rPr>
          <w:rFonts w:ascii="Times New Roman" w:hAnsi="Times New Roman" w:cs="Times New Roman"/>
          <w:sz w:val="28"/>
          <w:szCs w:val="28"/>
        </w:rPr>
        <w:t>Zavojna 6, 42000 Varaždin</w:t>
      </w: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84251A" w:rsidRDefault="0084251A" w:rsidP="00555592">
      <w:pPr>
        <w:spacing w:after="120"/>
        <w:jc w:val="center"/>
        <w:rPr>
          <w:rFonts w:ascii="Times New Roman" w:hAnsi="Times New Roman" w:cs="Times New Roman"/>
          <w:b/>
          <w:sz w:val="24"/>
          <w:szCs w:val="24"/>
        </w:rPr>
      </w:pPr>
    </w:p>
    <w:p w:rsidR="0084251A" w:rsidRDefault="0084251A" w:rsidP="00555592">
      <w:pPr>
        <w:spacing w:after="120"/>
        <w:jc w:val="center"/>
        <w:rPr>
          <w:rFonts w:ascii="Times New Roman" w:hAnsi="Times New Roman" w:cs="Times New Roman"/>
          <w:b/>
          <w:sz w:val="24"/>
          <w:szCs w:val="24"/>
        </w:rPr>
      </w:pPr>
    </w:p>
    <w:p w:rsidR="00DF08A0" w:rsidRPr="0074125F" w:rsidRDefault="00DF08A0" w:rsidP="00DF08A0">
      <w:pPr>
        <w:spacing w:after="120"/>
        <w:jc w:val="center"/>
        <w:rPr>
          <w:rFonts w:ascii="Times New Roman" w:hAnsi="Times New Roman" w:cs="Times New Roman"/>
          <w:b/>
          <w:sz w:val="48"/>
          <w:szCs w:val="48"/>
        </w:rPr>
      </w:pPr>
      <w:r w:rsidRPr="0074125F">
        <w:rPr>
          <w:rFonts w:ascii="Times New Roman" w:hAnsi="Times New Roman" w:cs="Times New Roman"/>
          <w:b/>
          <w:sz w:val="48"/>
          <w:szCs w:val="48"/>
        </w:rPr>
        <w:t>FINANCIJSKI PLAN</w:t>
      </w:r>
    </w:p>
    <w:p w:rsidR="0074125F" w:rsidRPr="0074125F" w:rsidRDefault="00DF08A0" w:rsidP="0074125F">
      <w:pPr>
        <w:spacing w:after="120"/>
        <w:jc w:val="center"/>
        <w:rPr>
          <w:rFonts w:ascii="Times New Roman" w:hAnsi="Times New Roman" w:cs="Times New Roman"/>
          <w:b/>
          <w:sz w:val="48"/>
          <w:szCs w:val="48"/>
        </w:rPr>
      </w:pPr>
      <w:r w:rsidRPr="0074125F">
        <w:rPr>
          <w:rFonts w:ascii="Times New Roman" w:hAnsi="Times New Roman" w:cs="Times New Roman"/>
          <w:b/>
          <w:sz w:val="48"/>
          <w:szCs w:val="48"/>
        </w:rPr>
        <w:t xml:space="preserve"> DOMA ZA ST</w:t>
      </w:r>
      <w:r w:rsidR="0074125F" w:rsidRPr="0074125F">
        <w:rPr>
          <w:rFonts w:ascii="Times New Roman" w:hAnsi="Times New Roman" w:cs="Times New Roman"/>
          <w:b/>
          <w:sz w:val="48"/>
          <w:szCs w:val="48"/>
        </w:rPr>
        <w:t xml:space="preserve">ARIJE I NEMOĆNE OSOBE VARAŽDIN </w:t>
      </w:r>
      <w:r w:rsidRPr="0074125F">
        <w:rPr>
          <w:rFonts w:ascii="Times New Roman" w:hAnsi="Times New Roman" w:cs="Times New Roman"/>
          <w:b/>
          <w:sz w:val="48"/>
          <w:szCs w:val="48"/>
        </w:rPr>
        <w:t>ZA 2023. GODINU</w:t>
      </w:r>
    </w:p>
    <w:p w:rsidR="0074125F" w:rsidRPr="0074125F" w:rsidRDefault="00DF08A0" w:rsidP="0074125F">
      <w:pPr>
        <w:spacing w:after="120"/>
        <w:jc w:val="center"/>
        <w:rPr>
          <w:rFonts w:ascii="Times New Roman" w:hAnsi="Times New Roman" w:cs="Times New Roman"/>
          <w:b/>
          <w:sz w:val="48"/>
          <w:szCs w:val="48"/>
        </w:rPr>
      </w:pPr>
      <w:r w:rsidRPr="0074125F">
        <w:rPr>
          <w:rFonts w:ascii="Times New Roman" w:hAnsi="Times New Roman" w:cs="Times New Roman"/>
          <w:b/>
          <w:sz w:val="48"/>
          <w:szCs w:val="48"/>
        </w:rPr>
        <w:t xml:space="preserve"> I </w:t>
      </w:r>
    </w:p>
    <w:p w:rsidR="00DF08A0" w:rsidRPr="0074125F" w:rsidRDefault="00DF08A0" w:rsidP="0074125F">
      <w:pPr>
        <w:spacing w:after="120"/>
        <w:jc w:val="center"/>
        <w:rPr>
          <w:rFonts w:ascii="Times New Roman" w:hAnsi="Times New Roman" w:cs="Times New Roman"/>
          <w:b/>
          <w:sz w:val="48"/>
          <w:szCs w:val="48"/>
        </w:rPr>
      </w:pPr>
      <w:r w:rsidRPr="0074125F">
        <w:rPr>
          <w:rFonts w:ascii="Times New Roman" w:hAnsi="Times New Roman" w:cs="Times New Roman"/>
          <w:b/>
          <w:sz w:val="48"/>
          <w:szCs w:val="48"/>
        </w:rPr>
        <w:t>PROJEKCIJE ZA 2024. I 2025. GODINU</w:t>
      </w: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sectPr w:rsidR="00DF08A0" w:rsidSect="00DF08A0">
          <w:pgSz w:w="11906" w:h="16838"/>
          <w:pgMar w:top="1418" w:right="1418" w:bottom="1418" w:left="1418" w:header="709" w:footer="709" w:gutter="0"/>
          <w:cols w:space="708"/>
          <w:docGrid w:linePitch="360"/>
        </w:sectPr>
      </w:pPr>
    </w:p>
    <w:p w:rsidR="00DF08A0" w:rsidRDefault="00D01139" w:rsidP="00B76812">
      <w:pPr>
        <w:spacing w:after="120"/>
        <w:rPr>
          <w:rFonts w:ascii="Times New Roman" w:hAnsi="Times New Roman" w:cs="Times New Roman"/>
          <w:sz w:val="24"/>
          <w:szCs w:val="24"/>
        </w:rPr>
      </w:pPr>
      <w:r>
        <w:rPr>
          <w:rFonts w:ascii="Times New Roman" w:hAnsi="Times New Roman" w:cs="Times New Roman"/>
          <w:b/>
          <w:sz w:val="24"/>
          <w:szCs w:val="24"/>
        </w:rPr>
        <w:tab/>
      </w:r>
      <w:r w:rsidRPr="00D01139">
        <w:rPr>
          <w:rFonts w:ascii="Times New Roman" w:hAnsi="Times New Roman" w:cs="Times New Roman"/>
          <w:sz w:val="24"/>
          <w:szCs w:val="24"/>
        </w:rPr>
        <w:t>Temeljem</w:t>
      </w:r>
      <w:r>
        <w:rPr>
          <w:rFonts w:ascii="Times New Roman" w:hAnsi="Times New Roman" w:cs="Times New Roman"/>
          <w:sz w:val="24"/>
          <w:szCs w:val="24"/>
        </w:rPr>
        <w:t xml:space="preserve"> odredbi članka 38. stavka 3. Zakona o proračunu (NN 144/21) i članka 31. Statuta Doma za starije i nemoćne osobe Varaždin (URBROJ: 535-01/18-1/328), Upravno vijeće na sjednici održanoj dana 29.12.2022. godine donosi:</w:t>
      </w:r>
    </w:p>
    <w:p w:rsidR="00BF48F6" w:rsidRDefault="00BF48F6" w:rsidP="00B76812">
      <w:pPr>
        <w:spacing w:after="120"/>
        <w:rPr>
          <w:rFonts w:ascii="Times New Roman" w:hAnsi="Times New Roman" w:cs="Times New Roman"/>
          <w:sz w:val="24"/>
          <w:szCs w:val="24"/>
        </w:rPr>
      </w:pPr>
    </w:p>
    <w:p w:rsidR="00D2383D" w:rsidRDefault="00D2383D" w:rsidP="00BF48F6">
      <w:pPr>
        <w:spacing w:after="120"/>
        <w:jc w:val="center"/>
        <w:rPr>
          <w:rFonts w:ascii="Times New Roman" w:hAnsi="Times New Roman" w:cs="Times New Roman"/>
          <w:b/>
          <w:sz w:val="24"/>
          <w:szCs w:val="24"/>
        </w:rPr>
      </w:pPr>
      <w:r>
        <w:rPr>
          <w:rFonts w:ascii="Times New Roman" w:hAnsi="Times New Roman" w:cs="Times New Roman"/>
          <w:b/>
          <w:sz w:val="24"/>
          <w:szCs w:val="24"/>
        </w:rPr>
        <w:t>Financijski plan Doma za starije i nemoćne osobe Varaždin za 2023. godinu</w:t>
      </w:r>
    </w:p>
    <w:p w:rsidR="00BF48F6" w:rsidRDefault="00D2383D" w:rsidP="00354E89">
      <w:pPr>
        <w:spacing w:after="240"/>
        <w:jc w:val="center"/>
        <w:rPr>
          <w:rFonts w:ascii="Times New Roman" w:hAnsi="Times New Roman" w:cs="Times New Roman"/>
          <w:b/>
          <w:sz w:val="24"/>
          <w:szCs w:val="24"/>
        </w:rPr>
      </w:pPr>
      <w:r>
        <w:rPr>
          <w:rFonts w:ascii="Times New Roman" w:hAnsi="Times New Roman" w:cs="Times New Roman"/>
          <w:b/>
          <w:sz w:val="24"/>
          <w:szCs w:val="24"/>
        </w:rPr>
        <w:t>i projekcije za 2024. i 2025. godinu</w:t>
      </w:r>
    </w:p>
    <w:p w:rsidR="00BF48F6" w:rsidRDefault="00BF48F6" w:rsidP="00BF48F6">
      <w:pPr>
        <w:pStyle w:val="Odlomakpopisa"/>
        <w:numPr>
          <w:ilvl w:val="0"/>
          <w:numId w:val="2"/>
        </w:numPr>
        <w:spacing w:after="120"/>
        <w:ind w:left="709" w:hanging="284"/>
        <w:contextualSpacing w:val="0"/>
        <w:jc w:val="center"/>
        <w:rPr>
          <w:rFonts w:ascii="Times New Roman" w:hAnsi="Times New Roman" w:cs="Times New Roman"/>
          <w:b/>
          <w:sz w:val="24"/>
          <w:szCs w:val="24"/>
        </w:rPr>
      </w:pPr>
      <w:r>
        <w:rPr>
          <w:rFonts w:ascii="Times New Roman" w:hAnsi="Times New Roman" w:cs="Times New Roman"/>
          <w:b/>
          <w:sz w:val="24"/>
          <w:szCs w:val="24"/>
        </w:rPr>
        <w:t>OPĆI DIO</w:t>
      </w:r>
    </w:p>
    <w:p w:rsidR="00BF48F6" w:rsidRDefault="00BF48F6" w:rsidP="00354E89">
      <w:pPr>
        <w:pStyle w:val="Odlomakpopisa"/>
        <w:spacing w:after="240"/>
        <w:ind w:left="709"/>
        <w:contextualSpacing w:val="0"/>
        <w:jc w:val="center"/>
        <w:rPr>
          <w:rFonts w:ascii="Times New Roman" w:hAnsi="Times New Roman" w:cs="Times New Roman"/>
          <w:b/>
          <w:sz w:val="24"/>
          <w:szCs w:val="24"/>
        </w:rPr>
      </w:pPr>
      <w:r>
        <w:rPr>
          <w:rFonts w:ascii="Times New Roman" w:hAnsi="Times New Roman" w:cs="Times New Roman"/>
          <w:b/>
          <w:sz w:val="24"/>
          <w:szCs w:val="24"/>
        </w:rPr>
        <w:t>SAŽETAK RAČUNA PRIHODA I RASHODA I RAČUNA FINANCIRANJA</w:t>
      </w:r>
    </w:p>
    <w:p w:rsidR="00056618" w:rsidRDefault="00056618" w:rsidP="00354E89">
      <w:pPr>
        <w:pStyle w:val="Odlomakpopisa"/>
        <w:spacing w:after="240"/>
        <w:ind w:left="709"/>
        <w:contextualSpacing w:val="0"/>
        <w:jc w:val="center"/>
        <w:rPr>
          <w:rFonts w:ascii="Times New Roman" w:hAnsi="Times New Roman" w:cs="Times New Roman"/>
          <w:b/>
          <w:sz w:val="24"/>
          <w:szCs w:val="24"/>
        </w:rPr>
      </w:pPr>
    </w:p>
    <w:p w:rsidR="00BF48F6" w:rsidRDefault="00BF48F6" w:rsidP="00056618">
      <w:pPr>
        <w:pStyle w:val="Odlomakpopisa"/>
        <w:spacing w:after="0"/>
        <w:ind w:left="709"/>
        <w:contextualSpacing w:val="0"/>
        <w:jc w:val="center"/>
        <w:rPr>
          <w:rFonts w:ascii="Times New Roman" w:hAnsi="Times New Roman" w:cs="Times New Roman"/>
          <w:sz w:val="24"/>
          <w:szCs w:val="24"/>
        </w:rPr>
      </w:pPr>
      <w:r w:rsidRPr="00BF48F6">
        <w:rPr>
          <w:rFonts w:ascii="Times New Roman" w:hAnsi="Times New Roman" w:cs="Times New Roman"/>
          <w:sz w:val="24"/>
          <w:szCs w:val="24"/>
        </w:rPr>
        <w:t>Članak 1.</w:t>
      </w:r>
    </w:p>
    <w:p w:rsidR="00C65C36" w:rsidRDefault="00C65C36" w:rsidP="00C65C36">
      <w:pPr>
        <w:pStyle w:val="Odlomakpopisa"/>
        <w:spacing w:after="120"/>
        <w:ind w:left="0"/>
        <w:contextualSpacing w:val="0"/>
        <w:jc w:val="both"/>
        <w:rPr>
          <w:rFonts w:ascii="Times New Roman" w:hAnsi="Times New Roman" w:cs="Times New Roman"/>
          <w:sz w:val="24"/>
          <w:szCs w:val="24"/>
        </w:rPr>
      </w:pPr>
    </w:p>
    <w:p w:rsidR="00C65C36" w:rsidRDefault="00C65C36" w:rsidP="00354E89">
      <w:pPr>
        <w:pStyle w:val="Odlomakpopisa"/>
        <w:spacing w:after="24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Financijski plan Doma za starije i nemoćne osobe Varaždin  za 2023. </w:t>
      </w:r>
      <w:r w:rsidR="00E16B18">
        <w:rPr>
          <w:rFonts w:ascii="Times New Roman" w:hAnsi="Times New Roman" w:cs="Times New Roman"/>
          <w:sz w:val="24"/>
          <w:szCs w:val="24"/>
        </w:rPr>
        <w:t>g</w:t>
      </w:r>
      <w:r>
        <w:rPr>
          <w:rFonts w:ascii="Times New Roman" w:hAnsi="Times New Roman" w:cs="Times New Roman"/>
          <w:sz w:val="24"/>
          <w:szCs w:val="24"/>
        </w:rPr>
        <w:t xml:space="preserve">odinu i projekcije za 2024. </w:t>
      </w:r>
      <w:r w:rsidR="00E16B18">
        <w:rPr>
          <w:rFonts w:ascii="Times New Roman" w:hAnsi="Times New Roman" w:cs="Times New Roman"/>
          <w:sz w:val="24"/>
          <w:szCs w:val="24"/>
        </w:rPr>
        <w:t>i</w:t>
      </w:r>
      <w:r>
        <w:rPr>
          <w:rFonts w:ascii="Times New Roman" w:hAnsi="Times New Roman" w:cs="Times New Roman"/>
          <w:sz w:val="24"/>
          <w:szCs w:val="24"/>
        </w:rPr>
        <w:t xml:space="preserve"> 2025 godinu sastoji se od:</w:t>
      </w:r>
    </w:p>
    <w:p w:rsidR="007F7347" w:rsidRPr="00BF48F6" w:rsidRDefault="00C2703C" w:rsidP="00C65C36">
      <w:pPr>
        <w:pStyle w:val="Odlomakpopisa"/>
        <w:spacing w:after="120"/>
        <w:ind w:left="0"/>
        <w:contextualSpacing w:val="0"/>
        <w:jc w:val="both"/>
        <w:rPr>
          <w:rFonts w:ascii="Times New Roman" w:hAnsi="Times New Roman" w:cs="Times New Roman"/>
          <w:sz w:val="24"/>
          <w:szCs w:val="24"/>
        </w:rPr>
      </w:pPr>
      <w:r w:rsidRPr="00C2703C">
        <w:rPr>
          <w:noProof/>
          <w:lang w:eastAsia="hr-HR"/>
        </w:rPr>
        <w:drawing>
          <wp:inline distT="0" distB="0" distL="0" distR="0" wp14:anchorId="60A8F210" wp14:editId="4C5B3052">
            <wp:extent cx="8891270" cy="1833514"/>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1270" cy="1833514"/>
                    </a:xfrm>
                    <a:prstGeom prst="rect">
                      <a:avLst/>
                    </a:prstGeom>
                    <a:noFill/>
                    <a:ln>
                      <a:noFill/>
                    </a:ln>
                  </pic:spPr>
                </pic:pic>
              </a:graphicData>
            </a:graphic>
          </wp:inline>
        </w:drawing>
      </w:r>
    </w:p>
    <w:p w:rsidR="00BF48F6" w:rsidRDefault="00BF48F6" w:rsidP="00BF48F6">
      <w:pPr>
        <w:pStyle w:val="Odlomakpopisa"/>
        <w:spacing w:after="120"/>
        <w:ind w:left="709"/>
        <w:contextualSpacing w:val="0"/>
        <w:jc w:val="center"/>
        <w:rPr>
          <w:rFonts w:ascii="Times New Roman" w:hAnsi="Times New Roman" w:cs="Times New Roman"/>
          <w:b/>
          <w:sz w:val="24"/>
          <w:szCs w:val="24"/>
        </w:rPr>
      </w:pPr>
    </w:p>
    <w:p w:rsidR="00BF48F6" w:rsidRPr="00BF48F6" w:rsidRDefault="00BF48F6" w:rsidP="00BF48F6">
      <w:pPr>
        <w:pStyle w:val="Odlomakpopisa"/>
        <w:spacing w:after="120"/>
        <w:ind w:left="709"/>
        <w:jc w:val="center"/>
        <w:rPr>
          <w:rFonts w:ascii="Times New Roman" w:hAnsi="Times New Roman" w:cs="Times New Roman"/>
          <w:b/>
          <w:sz w:val="24"/>
          <w:szCs w:val="24"/>
        </w:rPr>
      </w:pPr>
    </w:p>
    <w:p w:rsidR="00D2383D" w:rsidRDefault="00D2383D" w:rsidP="00D2383D">
      <w:pPr>
        <w:spacing w:after="120"/>
        <w:jc w:val="center"/>
        <w:rPr>
          <w:rFonts w:ascii="Times New Roman" w:hAnsi="Times New Roman" w:cs="Times New Roman"/>
          <w:b/>
          <w:sz w:val="24"/>
          <w:szCs w:val="24"/>
        </w:rPr>
      </w:pPr>
    </w:p>
    <w:p w:rsidR="00BB15AC" w:rsidRDefault="00BB15AC" w:rsidP="00D2383D">
      <w:pPr>
        <w:spacing w:after="120"/>
        <w:jc w:val="center"/>
        <w:rPr>
          <w:rFonts w:ascii="Times New Roman" w:hAnsi="Times New Roman" w:cs="Times New Roman"/>
          <w:b/>
          <w:sz w:val="24"/>
          <w:szCs w:val="24"/>
        </w:rPr>
      </w:pPr>
    </w:p>
    <w:p w:rsidR="00BB15AC" w:rsidRDefault="00BB15AC" w:rsidP="00D2383D">
      <w:pPr>
        <w:spacing w:after="120"/>
        <w:jc w:val="center"/>
        <w:rPr>
          <w:rFonts w:ascii="Times New Roman" w:hAnsi="Times New Roman" w:cs="Times New Roman"/>
          <w:b/>
          <w:sz w:val="24"/>
          <w:szCs w:val="24"/>
        </w:rPr>
      </w:pPr>
    </w:p>
    <w:p w:rsidR="00BB15AC" w:rsidRDefault="00BB15AC" w:rsidP="00D2383D">
      <w:pPr>
        <w:spacing w:after="120"/>
        <w:jc w:val="center"/>
        <w:rPr>
          <w:rFonts w:ascii="Times New Roman" w:hAnsi="Times New Roman" w:cs="Times New Roman"/>
          <w:b/>
          <w:sz w:val="24"/>
          <w:szCs w:val="24"/>
        </w:rPr>
      </w:pPr>
    </w:p>
    <w:p w:rsidR="00C2703C" w:rsidRDefault="00C2703C" w:rsidP="006175CA">
      <w:pPr>
        <w:spacing w:after="240"/>
        <w:jc w:val="center"/>
        <w:rPr>
          <w:rFonts w:ascii="Times New Roman" w:hAnsi="Times New Roman" w:cs="Times New Roman"/>
          <w:sz w:val="24"/>
          <w:szCs w:val="24"/>
        </w:rPr>
      </w:pPr>
      <w:r w:rsidRPr="00C2703C">
        <w:rPr>
          <w:rFonts w:ascii="Times New Roman" w:hAnsi="Times New Roman" w:cs="Times New Roman"/>
          <w:sz w:val="24"/>
          <w:szCs w:val="24"/>
        </w:rPr>
        <w:t>Članak 2.</w:t>
      </w:r>
    </w:p>
    <w:p w:rsidR="006175CA" w:rsidRPr="00BB15AC" w:rsidRDefault="006175CA" w:rsidP="00BB15AC">
      <w:pPr>
        <w:spacing w:after="120"/>
        <w:jc w:val="both"/>
        <w:rPr>
          <w:rFonts w:ascii="Times New Roman" w:hAnsi="Times New Roman" w:cs="Times New Roman"/>
          <w:sz w:val="24"/>
          <w:szCs w:val="24"/>
        </w:rPr>
      </w:pPr>
      <w:r>
        <w:rPr>
          <w:rFonts w:ascii="Times New Roman" w:hAnsi="Times New Roman" w:cs="Times New Roman"/>
          <w:sz w:val="24"/>
          <w:szCs w:val="24"/>
        </w:rPr>
        <w:t>Prihodi i rashodi te izdaci utvrđuju se u Računu prihoda i rashoda i Računu financiranja Financijskog plana za 2023. godinu i projekcijama za 2024. i 2025. godinu kako slijedi:</w:t>
      </w:r>
    </w:p>
    <w:p w:rsidR="005F38FB" w:rsidRPr="00C2703C" w:rsidRDefault="00BB15AC" w:rsidP="006175CA">
      <w:pPr>
        <w:spacing w:after="120"/>
        <w:jc w:val="both"/>
        <w:rPr>
          <w:rFonts w:ascii="Times New Roman" w:hAnsi="Times New Roman" w:cs="Times New Roman"/>
          <w:sz w:val="24"/>
          <w:szCs w:val="24"/>
        </w:rPr>
      </w:pPr>
      <w:r w:rsidRPr="00BB15AC">
        <w:rPr>
          <w:noProof/>
          <w:lang w:eastAsia="hr-HR"/>
        </w:rPr>
        <w:drawing>
          <wp:inline distT="0" distB="0" distL="0" distR="0" wp14:anchorId="615991D4" wp14:editId="443C5C44">
            <wp:extent cx="8922774" cy="5685503"/>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0811" cy="5690624"/>
                    </a:xfrm>
                    <a:prstGeom prst="rect">
                      <a:avLst/>
                    </a:prstGeom>
                    <a:noFill/>
                    <a:ln>
                      <a:noFill/>
                    </a:ln>
                  </pic:spPr>
                </pic:pic>
              </a:graphicData>
            </a:graphic>
          </wp:inline>
        </w:drawing>
      </w:r>
    </w:p>
    <w:p w:rsidR="00DF08A0" w:rsidRDefault="00DF08A0" w:rsidP="000E568E">
      <w:pPr>
        <w:spacing w:after="120"/>
        <w:rPr>
          <w:rFonts w:ascii="Times New Roman" w:hAnsi="Times New Roman" w:cs="Times New Roman"/>
          <w:b/>
          <w:sz w:val="24"/>
          <w:szCs w:val="24"/>
        </w:rPr>
      </w:pPr>
    </w:p>
    <w:p w:rsidR="00DF08A0" w:rsidRPr="00580EF7" w:rsidRDefault="000E568E" w:rsidP="00580EF7">
      <w:pPr>
        <w:pStyle w:val="Odlomakpopisa"/>
        <w:numPr>
          <w:ilvl w:val="0"/>
          <w:numId w:val="2"/>
        </w:numPr>
        <w:spacing w:after="120"/>
        <w:ind w:left="709" w:hanging="352"/>
        <w:contextualSpacing w:val="0"/>
        <w:jc w:val="center"/>
        <w:rPr>
          <w:rFonts w:ascii="Times New Roman" w:hAnsi="Times New Roman" w:cs="Times New Roman"/>
          <w:b/>
          <w:sz w:val="24"/>
          <w:szCs w:val="24"/>
        </w:rPr>
      </w:pPr>
      <w:r w:rsidRPr="00580EF7">
        <w:rPr>
          <w:rFonts w:ascii="Times New Roman" w:hAnsi="Times New Roman" w:cs="Times New Roman"/>
          <w:b/>
          <w:sz w:val="24"/>
          <w:szCs w:val="24"/>
        </w:rPr>
        <w:t>POSEBNI DIO</w:t>
      </w:r>
    </w:p>
    <w:p w:rsidR="000E568E" w:rsidRDefault="000E568E" w:rsidP="00580EF7">
      <w:pPr>
        <w:pStyle w:val="Odlomakpopisa"/>
        <w:spacing w:after="120"/>
        <w:ind w:left="709"/>
        <w:jc w:val="center"/>
        <w:rPr>
          <w:rFonts w:ascii="Times New Roman" w:hAnsi="Times New Roman" w:cs="Times New Roman"/>
          <w:sz w:val="24"/>
          <w:szCs w:val="24"/>
        </w:rPr>
      </w:pPr>
      <w:r w:rsidRPr="000E568E">
        <w:rPr>
          <w:rFonts w:ascii="Times New Roman" w:hAnsi="Times New Roman" w:cs="Times New Roman"/>
          <w:sz w:val="24"/>
          <w:szCs w:val="24"/>
        </w:rPr>
        <w:t>Članak 3.</w:t>
      </w:r>
    </w:p>
    <w:p w:rsidR="000E568E" w:rsidRDefault="000E568E" w:rsidP="000E568E">
      <w:pPr>
        <w:pStyle w:val="Odlomakpopisa"/>
        <w:spacing w:after="120"/>
        <w:ind w:left="709"/>
        <w:jc w:val="center"/>
        <w:rPr>
          <w:rFonts w:ascii="Times New Roman" w:hAnsi="Times New Roman" w:cs="Times New Roman"/>
          <w:sz w:val="24"/>
          <w:szCs w:val="24"/>
        </w:rPr>
      </w:pPr>
    </w:p>
    <w:p w:rsidR="000E568E" w:rsidRDefault="000E568E" w:rsidP="000E568E">
      <w:pPr>
        <w:pStyle w:val="Odlomakpopisa"/>
        <w:spacing w:after="120"/>
        <w:ind w:left="0"/>
        <w:jc w:val="both"/>
        <w:rPr>
          <w:rFonts w:ascii="Times New Roman" w:hAnsi="Times New Roman" w:cs="Times New Roman"/>
          <w:sz w:val="24"/>
          <w:szCs w:val="24"/>
        </w:rPr>
      </w:pPr>
      <w:r>
        <w:rPr>
          <w:rFonts w:ascii="Times New Roman" w:hAnsi="Times New Roman" w:cs="Times New Roman"/>
          <w:sz w:val="24"/>
          <w:szCs w:val="24"/>
        </w:rPr>
        <w:t>Posebni dio Financijskog plana sastoji se od plana rashoda i izdataka iskazanih po organizacijskoj klasifikaciji</w:t>
      </w:r>
      <w:r w:rsidR="00B2305E">
        <w:rPr>
          <w:rFonts w:ascii="Times New Roman" w:hAnsi="Times New Roman" w:cs="Times New Roman"/>
          <w:sz w:val="24"/>
          <w:szCs w:val="24"/>
        </w:rPr>
        <w:t>, izvorima financiranja i ekonomskoj klasifikaciji, raspoređeni u program koji se sastoji od aktivnosti i projekata:</w:t>
      </w:r>
    </w:p>
    <w:p w:rsidR="00B2305E" w:rsidRPr="000E568E" w:rsidRDefault="00B2305E" w:rsidP="000E568E">
      <w:pPr>
        <w:pStyle w:val="Odlomakpopisa"/>
        <w:spacing w:after="120"/>
        <w:ind w:left="0"/>
        <w:jc w:val="both"/>
        <w:rPr>
          <w:rFonts w:ascii="Times New Roman" w:hAnsi="Times New Roman" w:cs="Times New Roman"/>
          <w:sz w:val="24"/>
          <w:szCs w:val="24"/>
        </w:rPr>
      </w:pPr>
    </w:p>
    <w:p w:rsidR="00FB4269" w:rsidRDefault="009267D8" w:rsidP="00580EF7">
      <w:pPr>
        <w:pStyle w:val="Odlomakpopisa"/>
        <w:spacing w:after="120"/>
        <w:ind w:left="0"/>
        <w:jc w:val="center"/>
        <w:rPr>
          <w:rFonts w:ascii="Times New Roman" w:hAnsi="Times New Roman" w:cs="Times New Roman"/>
          <w:b/>
          <w:sz w:val="24"/>
          <w:szCs w:val="24"/>
        </w:rPr>
        <w:sectPr w:rsidR="00FB4269" w:rsidSect="00056618">
          <w:pgSz w:w="16838" w:h="11906" w:orient="landscape" w:code="9"/>
          <w:pgMar w:top="709" w:right="1418" w:bottom="567" w:left="1418" w:header="709" w:footer="709" w:gutter="0"/>
          <w:cols w:space="708"/>
          <w:docGrid w:linePitch="360"/>
        </w:sectPr>
      </w:pPr>
      <w:r w:rsidRPr="009267D8">
        <w:rPr>
          <w:noProof/>
          <w:lang w:eastAsia="hr-HR"/>
        </w:rPr>
        <w:drawing>
          <wp:inline distT="0" distB="0" distL="0" distR="0" wp14:anchorId="66C3F4E8" wp14:editId="0697432C">
            <wp:extent cx="8891270" cy="5126836"/>
            <wp:effectExtent l="0" t="0" r="508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1270" cy="5126836"/>
                    </a:xfrm>
                    <a:prstGeom prst="rect">
                      <a:avLst/>
                    </a:prstGeom>
                    <a:noFill/>
                    <a:ln>
                      <a:noFill/>
                    </a:ln>
                  </pic:spPr>
                </pic:pic>
              </a:graphicData>
            </a:graphic>
          </wp:inline>
        </w:drawing>
      </w:r>
    </w:p>
    <w:p w:rsidR="000E568E" w:rsidRPr="000E568E" w:rsidRDefault="000E568E" w:rsidP="00580EF7">
      <w:pPr>
        <w:pStyle w:val="Odlomakpopisa"/>
        <w:spacing w:after="120"/>
        <w:ind w:left="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DF08A0" w:rsidRDefault="00DF08A0" w:rsidP="00555592">
      <w:pPr>
        <w:spacing w:after="120"/>
        <w:jc w:val="center"/>
        <w:rPr>
          <w:rFonts w:ascii="Times New Roman" w:hAnsi="Times New Roman" w:cs="Times New Roman"/>
          <w:b/>
          <w:sz w:val="24"/>
          <w:szCs w:val="24"/>
        </w:rPr>
      </w:pPr>
    </w:p>
    <w:p w:rsidR="00FB4269" w:rsidRDefault="00FB4269" w:rsidP="00555592">
      <w:pPr>
        <w:spacing w:after="120"/>
        <w:jc w:val="center"/>
        <w:rPr>
          <w:rFonts w:ascii="Times New Roman" w:hAnsi="Times New Roman" w:cs="Times New Roman"/>
          <w:b/>
          <w:sz w:val="24"/>
          <w:szCs w:val="24"/>
        </w:rPr>
      </w:pPr>
    </w:p>
    <w:p w:rsidR="00FB4269" w:rsidRDefault="00FB4269" w:rsidP="00555592">
      <w:pPr>
        <w:spacing w:after="120"/>
        <w:jc w:val="center"/>
        <w:rPr>
          <w:rFonts w:ascii="Times New Roman" w:hAnsi="Times New Roman" w:cs="Times New Roman"/>
          <w:b/>
          <w:sz w:val="24"/>
          <w:szCs w:val="24"/>
        </w:rPr>
      </w:pPr>
    </w:p>
    <w:p w:rsidR="00FB4269" w:rsidRDefault="00FB4269" w:rsidP="00FB4269">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OBRAZLOŽENJE</w:t>
      </w:r>
      <w:r>
        <w:rPr>
          <w:rFonts w:ascii="Times New Roman" w:hAnsi="Times New Roman" w:cs="Times New Roman"/>
          <w:b/>
          <w:sz w:val="48"/>
          <w:szCs w:val="48"/>
        </w:rPr>
        <w:t xml:space="preserve"> </w:t>
      </w:r>
      <w:r w:rsidRPr="00FB4269">
        <w:rPr>
          <w:rFonts w:ascii="Times New Roman" w:hAnsi="Times New Roman" w:cs="Times New Roman"/>
          <w:b/>
          <w:sz w:val="48"/>
          <w:szCs w:val="48"/>
        </w:rPr>
        <w:t>OPĆEG DIJELA</w:t>
      </w:r>
    </w:p>
    <w:p w:rsidR="00426CF5" w:rsidRDefault="00FB4269" w:rsidP="00FB4269">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FINANCIJSKOG PLANA</w:t>
      </w:r>
    </w:p>
    <w:p w:rsidR="00426CF5" w:rsidRDefault="00FB4269" w:rsidP="00FB4269">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ZA 2023. GODINU</w:t>
      </w:r>
    </w:p>
    <w:p w:rsidR="00426CF5" w:rsidRDefault="00FB4269" w:rsidP="00FB4269">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I</w:t>
      </w:r>
    </w:p>
    <w:p w:rsidR="00FB4269" w:rsidRPr="00FB3430" w:rsidRDefault="00FB4269" w:rsidP="00FB3430">
      <w:pPr>
        <w:spacing w:after="120"/>
        <w:jc w:val="center"/>
        <w:rPr>
          <w:rFonts w:ascii="Times New Roman" w:hAnsi="Times New Roman" w:cs="Times New Roman"/>
          <w:b/>
          <w:sz w:val="48"/>
          <w:szCs w:val="48"/>
        </w:rPr>
        <w:sectPr w:rsidR="00FB4269" w:rsidRPr="00FB3430" w:rsidSect="00FB4269">
          <w:pgSz w:w="11906" w:h="16838" w:code="9"/>
          <w:pgMar w:top="1418" w:right="567" w:bottom="1418" w:left="709" w:header="709" w:footer="709" w:gutter="0"/>
          <w:cols w:space="708"/>
          <w:docGrid w:linePitch="360"/>
        </w:sectPr>
      </w:pPr>
      <w:r w:rsidRPr="00FB4269">
        <w:rPr>
          <w:rFonts w:ascii="Times New Roman" w:hAnsi="Times New Roman" w:cs="Times New Roman"/>
          <w:b/>
          <w:sz w:val="48"/>
          <w:szCs w:val="48"/>
        </w:rPr>
        <w:t xml:space="preserve"> PROJEKCIJE ZA 2024. I 2025. GODINU</w:t>
      </w:r>
    </w:p>
    <w:p w:rsidR="00555592" w:rsidRDefault="00555592" w:rsidP="00555592">
      <w:pPr>
        <w:spacing w:after="120"/>
        <w:jc w:val="both"/>
        <w:rPr>
          <w:rFonts w:ascii="Times New Roman" w:hAnsi="Times New Roman" w:cs="Times New Roman"/>
          <w:b/>
          <w:sz w:val="24"/>
          <w:szCs w:val="24"/>
        </w:rPr>
      </w:pPr>
    </w:p>
    <w:p w:rsidR="00555592" w:rsidRPr="001C5B5C" w:rsidRDefault="00555592" w:rsidP="00555592">
      <w:pPr>
        <w:pStyle w:val="Odlomakpopisa"/>
        <w:numPr>
          <w:ilvl w:val="0"/>
          <w:numId w:val="1"/>
        </w:numPr>
        <w:spacing w:after="120"/>
        <w:ind w:left="284" w:hanging="284"/>
        <w:jc w:val="both"/>
        <w:rPr>
          <w:rFonts w:ascii="Times New Roman" w:hAnsi="Times New Roman" w:cs="Times New Roman"/>
          <w:b/>
          <w:i/>
          <w:sz w:val="24"/>
          <w:szCs w:val="24"/>
          <w:u w:val="single"/>
        </w:rPr>
      </w:pPr>
      <w:r w:rsidRPr="001C5B5C">
        <w:rPr>
          <w:rFonts w:ascii="Times New Roman" w:hAnsi="Times New Roman" w:cs="Times New Roman"/>
          <w:b/>
          <w:i/>
          <w:sz w:val="24"/>
          <w:szCs w:val="24"/>
          <w:u w:val="single"/>
        </w:rPr>
        <w:t>UVOD</w:t>
      </w:r>
    </w:p>
    <w:p w:rsidR="00555592" w:rsidRDefault="00250C44" w:rsidP="004D23D0">
      <w:pPr>
        <w:spacing w:after="120"/>
        <w:ind w:firstLine="284"/>
        <w:jc w:val="both"/>
        <w:rPr>
          <w:rFonts w:ascii="Times New Roman" w:hAnsi="Times New Roman" w:cs="Times New Roman"/>
          <w:sz w:val="24"/>
          <w:szCs w:val="24"/>
        </w:rPr>
      </w:pPr>
      <w:r>
        <w:rPr>
          <w:rFonts w:ascii="Times New Roman" w:hAnsi="Times New Roman" w:cs="Times New Roman"/>
          <w:sz w:val="24"/>
          <w:szCs w:val="24"/>
        </w:rPr>
        <w:t>Financijski plan Doma za starije i nemoćne osobe Varaždin za razdoblje 2023.-2025. godine izrađen je prema metodologiji koja je propisana Zakonom o proračunu</w:t>
      </w:r>
      <w:r w:rsidR="00B41883">
        <w:rPr>
          <w:rFonts w:ascii="Times New Roman" w:hAnsi="Times New Roman" w:cs="Times New Roman"/>
          <w:sz w:val="24"/>
          <w:szCs w:val="24"/>
        </w:rPr>
        <w:t xml:space="preserve"> (NN 144/21) i podzakonskim aktima – Pravilnikom o proračunskim klasifikacijama (NN</w:t>
      </w:r>
      <w:r w:rsidR="00194BB5">
        <w:rPr>
          <w:rFonts w:ascii="Times New Roman" w:hAnsi="Times New Roman" w:cs="Times New Roman"/>
          <w:sz w:val="24"/>
          <w:szCs w:val="24"/>
        </w:rPr>
        <w:t xml:space="preserve"> 26/10, 120/13 i 1/20</w:t>
      </w:r>
      <w:r w:rsidR="00B41883">
        <w:rPr>
          <w:rFonts w:ascii="Times New Roman" w:hAnsi="Times New Roman" w:cs="Times New Roman"/>
          <w:sz w:val="24"/>
          <w:szCs w:val="24"/>
        </w:rPr>
        <w:t>), Pravilnikom o proračunskom računovodstvu i Računskom planu (NN</w:t>
      </w:r>
      <w:r w:rsidR="00194BB5">
        <w:rPr>
          <w:rFonts w:ascii="Times New Roman" w:hAnsi="Times New Roman" w:cs="Times New Roman"/>
          <w:sz w:val="24"/>
          <w:szCs w:val="24"/>
        </w:rPr>
        <w:t xml:space="preserve"> 124/14, 115/15, 87/16, 3/18, 126/19 i 108/20</w:t>
      </w:r>
      <w:r w:rsidR="00B41883">
        <w:rPr>
          <w:rFonts w:ascii="Times New Roman" w:hAnsi="Times New Roman" w:cs="Times New Roman"/>
          <w:sz w:val="24"/>
          <w:szCs w:val="24"/>
        </w:rPr>
        <w:t>) i Zakonom o fiskalnoj odgovornosti (NN</w:t>
      </w:r>
      <w:r w:rsidR="00194BB5">
        <w:rPr>
          <w:rFonts w:ascii="Times New Roman" w:hAnsi="Times New Roman" w:cs="Times New Roman"/>
          <w:sz w:val="24"/>
          <w:szCs w:val="24"/>
        </w:rPr>
        <w:t xml:space="preserve"> 111/18).</w:t>
      </w:r>
    </w:p>
    <w:p w:rsidR="00194BB5" w:rsidRDefault="00922972" w:rsidP="00250C44">
      <w:pPr>
        <w:spacing w:after="120"/>
        <w:ind w:firstLine="284"/>
        <w:jc w:val="both"/>
        <w:rPr>
          <w:rFonts w:ascii="Times New Roman" w:hAnsi="Times New Roman" w:cs="Times New Roman"/>
          <w:sz w:val="24"/>
          <w:szCs w:val="24"/>
        </w:rPr>
      </w:pPr>
      <w:r>
        <w:rPr>
          <w:rFonts w:ascii="Times New Roman" w:hAnsi="Times New Roman" w:cs="Times New Roman"/>
          <w:sz w:val="24"/>
          <w:szCs w:val="24"/>
        </w:rPr>
        <w:t>Ministarstvo financija je sukladno Zakonu o proračunu izradilo Upute za izradu proračuna jedinica lokalne i područne (regionalne) samouprave za razdoblje 2023.-2025.</w:t>
      </w:r>
      <w:r w:rsidR="001D0D63">
        <w:rPr>
          <w:rFonts w:ascii="Times New Roman" w:hAnsi="Times New Roman" w:cs="Times New Roman"/>
          <w:sz w:val="24"/>
          <w:szCs w:val="24"/>
        </w:rPr>
        <w:t xml:space="preserve"> Na temelju tih uputa izrađene su Upute</w:t>
      </w:r>
      <w:r w:rsidR="00B27F33">
        <w:rPr>
          <w:rFonts w:ascii="Times New Roman" w:hAnsi="Times New Roman" w:cs="Times New Roman"/>
          <w:sz w:val="24"/>
          <w:szCs w:val="24"/>
        </w:rPr>
        <w:t xml:space="preserve"> za izradu Proračuna Varaždinske županije i financijskih planova proračunskih korisnika za razdoblje 2023.-2025. godine (KLASA: 402-06/22-01/10; URBROJ: 2186-07/1-22-7) koje su proračunskim korisnicima dostavljene na postupanje.</w:t>
      </w:r>
    </w:p>
    <w:p w:rsidR="00085AC0" w:rsidRDefault="00085AC0" w:rsidP="00250C44">
      <w:pPr>
        <w:spacing w:after="120"/>
        <w:ind w:firstLine="284"/>
        <w:jc w:val="both"/>
        <w:rPr>
          <w:rFonts w:ascii="Times New Roman" w:hAnsi="Times New Roman" w:cs="Times New Roman"/>
          <w:sz w:val="24"/>
          <w:szCs w:val="24"/>
        </w:rPr>
      </w:pPr>
      <w:r>
        <w:rPr>
          <w:rFonts w:ascii="Times New Roman" w:hAnsi="Times New Roman" w:cs="Times New Roman"/>
          <w:sz w:val="24"/>
          <w:szCs w:val="24"/>
        </w:rPr>
        <w:t>Odredbama čl. 38. st. 3. Zakona o proračunu (NN 144/21) propisano je da upravljačko tijelo usvaja prijedlog financijskog plana koji sadrži plan za proračunsku godinu i projekcije za sljedeće dvije godine na razini skupine ekonomske klasifikacije.</w:t>
      </w:r>
    </w:p>
    <w:p w:rsidR="00125A95" w:rsidRDefault="00F83399" w:rsidP="00FB3430">
      <w:pPr>
        <w:spacing w:after="240"/>
        <w:ind w:firstLine="284"/>
        <w:jc w:val="both"/>
        <w:rPr>
          <w:rFonts w:ascii="Times New Roman" w:hAnsi="Times New Roman" w:cs="Times New Roman"/>
          <w:sz w:val="24"/>
          <w:szCs w:val="24"/>
        </w:rPr>
      </w:pPr>
      <w:r>
        <w:rPr>
          <w:rFonts w:ascii="Times New Roman" w:hAnsi="Times New Roman" w:cs="Times New Roman"/>
          <w:sz w:val="24"/>
          <w:szCs w:val="24"/>
        </w:rPr>
        <w:t>Financijski plan Doma za starije i nemoćne osobe Varaždin čine prihodi i primici, te rashodi i izdaci raspoređeni u programe koji se sastoje od aktivnosti i projekata, a iskazani su prema ekonomskoj i funkcijskoj klasifikaciji, te izvorima financiranja.</w:t>
      </w:r>
    </w:p>
    <w:p w:rsidR="001C5B5C" w:rsidRPr="006E2876" w:rsidRDefault="001C5B5C" w:rsidP="006E2876">
      <w:pPr>
        <w:pStyle w:val="Odlomakpopisa"/>
        <w:numPr>
          <w:ilvl w:val="0"/>
          <w:numId w:val="1"/>
        </w:numPr>
        <w:spacing w:after="240"/>
        <w:ind w:left="284" w:hanging="284"/>
        <w:contextualSpacing w:val="0"/>
        <w:jc w:val="both"/>
        <w:rPr>
          <w:rFonts w:ascii="Times New Roman" w:hAnsi="Times New Roman" w:cs="Times New Roman"/>
          <w:b/>
          <w:i/>
          <w:sz w:val="24"/>
          <w:szCs w:val="24"/>
          <w:u w:val="single"/>
        </w:rPr>
      </w:pPr>
      <w:r w:rsidRPr="001C5B5C">
        <w:rPr>
          <w:rFonts w:ascii="Times New Roman" w:hAnsi="Times New Roman" w:cs="Times New Roman"/>
          <w:b/>
          <w:i/>
          <w:sz w:val="24"/>
          <w:szCs w:val="24"/>
          <w:u w:val="single"/>
        </w:rPr>
        <w:t>RAČUN PRIHODA I RASHODA</w:t>
      </w:r>
    </w:p>
    <w:p w:rsidR="001C5B5C" w:rsidRPr="001C5B5C" w:rsidRDefault="001C5B5C" w:rsidP="00116F29">
      <w:pPr>
        <w:spacing w:after="120"/>
        <w:ind w:firstLine="284"/>
        <w:jc w:val="both"/>
        <w:rPr>
          <w:rFonts w:ascii="Times New Roman" w:eastAsia="Times New Roman" w:hAnsi="Times New Roman" w:cs="Times New Roman"/>
          <w:color w:val="000000"/>
          <w:sz w:val="24"/>
          <w:szCs w:val="24"/>
          <w:lang w:eastAsia="hr-HR"/>
        </w:rPr>
      </w:pPr>
      <w:r w:rsidRPr="001C5B5C">
        <w:rPr>
          <w:rFonts w:ascii="Times New Roman" w:eastAsia="Times New Roman" w:hAnsi="Times New Roman" w:cs="Times New Roman"/>
          <w:color w:val="000000"/>
          <w:sz w:val="24"/>
          <w:szCs w:val="24"/>
          <w:lang w:eastAsia="hr-HR"/>
        </w:rPr>
        <w:t>Financijski plan Doma za 2023. godinu planiran je u iznosu od 3.188.532,00 EUR</w:t>
      </w:r>
      <w:r w:rsidR="006E2876">
        <w:rPr>
          <w:rFonts w:ascii="Times New Roman" w:eastAsia="Times New Roman" w:hAnsi="Times New Roman" w:cs="Times New Roman"/>
          <w:color w:val="000000"/>
          <w:sz w:val="24"/>
          <w:szCs w:val="24"/>
          <w:lang w:eastAsia="hr-HR"/>
        </w:rPr>
        <w:t>. Strukturu F</w:t>
      </w:r>
      <w:r w:rsidRPr="001C5B5C">
        <w:rPr>
          <w:rFonts w:ascii="Times New Roman" w:eastAsia="Times New Roman" w:hAnsi="Times New Roman" w:cs="Times New Roman"/>
          <w:color w:val="000000"/>
          <w:sz w:val="24"/>
          <w:szCs w:val="24"/>
          <w:lang w:eastAsia="hr-HR"/>
        </w:rPr>
        <w:t>inancijskog plana čine:</w:t>
      </w:r>
    </w:p>
    <w:p w:rsidR="001C5B5C" w:rsidRPr="001C5B5C" w:rsidRDefault="001C5B5C" w:rsidP="00FB3430">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1C5B5C">
        <w:rPr>
          <w:rFonts w:ascii="Times New Roman" w:eastAsia="Times New Roman" w:hAnsi="Times New Roman" w:cs="Times New Roman"/>
          <w:sz w:val="24"/>
          <w:szCs w:val="24"/>
          <w:lang w:eastAsia="hr-HR"/>
        </w:rPr>
        <w:t xml:space="preserve">Prihodi </w:t>
      </w:r>
      <w:r w:rsidR="00C847B5">
        <w:rPr>
          <w:rFonts w:ascii="Times New Roman" w:eastAsia="Times New Roman" w:hAnsi="Times New Roman" w:cs="Times New Roman"/>
          <w:sz w:val="24"/>
          <w:szCs w:val="24"/>
          <w:lang w:eastAsia="hr-HR"/>
        </w:rPr>
        <w:t>poslovanja: 3.104.120</w:t>
      </w:r>
      <w:r w:rsidRPr="001C5B5C">
        <w:rPr>
          <w:rFonts w:ascii="Times New Roman" w:eastAsia="Times New Roman" w:hAnsi="Times New Roman" w:cs="Times New Roman"/>
          <w:sz w:val="24"/>
          <w:szCs w:val="24"/>
          <w:lang w:eastAsia="hr-HR"/>
        </w:rPr>
        <w:t>,00 EUR</w:t>
      </w:r>
    </w:p>
    <w:p w:rsidR="001C5B5C" w:rsidRPr="001C5B5C" w:rsidRDefault="001C5B5C" w:rsidP="00FB3430">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1C5B5C">
        <w:rPr>
          <w:rFonts w:ascii="Times New Roman" w:eastAsia="Times New Roman" w:hAnsi="Times New Roman" w:cs="Times New Roman"/>
          <w:sz w:val="24"/>
          <w:szCs w:val="24"/>
          <w:lang w:eastAsia="hr-HR"/>
        </w:rPr>
        <w:t>Rashodi poslovanja:</w:t>
      </w:r>
      <w:r w:rsidR="00C847B5">
        <w:rPr>
          <w:rFonts w:ascii="Times New Roman" w:eastAsia="Times New Roman" w:hAnsi="Times New Roman" w:cs="Times New Roman"/>
          <w:sz w:val="24"/>
          <w:szCs w:val="24"/>
          <w:lang w:eastAsia="hr-HR"/>
        </w:rPr>
        <w:t xml:space="preserve"> 2.906.283</w:t>
      </w:r>
      <w:r w:rsidRPr="001C5B5C">
        <w:rPr>
          <w:rFonts w:ascii="Times New Roman" w:eastAsia="Times New Roman" w:hAnsi="Times New Roman" w:cs="Times New Roman"/>
          <w:sz w:val="24"/>
          <w:szCs w:val="24"/>
          <w:lang w:eastAsia="hr-HR"/>
        </w:rPr>
        <w:t>,00 EUR</w:t>
      </w:r>
    </w:p>
    <w:p w:rsidR="001C5B5C" w:rsidRPr="001C5B5C" w:rsidRDefault="001C5B5C" w:rsidP="00FB3430">
      <w:pPr>
        <w:numPr>
          <w:ilvl w:val="0"/>
          <w:numId w:val="6"/>
        </w:numPr>
        <w:spacing w:after="120" w:line="240" w:lineRule="auto"/>
        <w:ind w:left="709" w:firstLine="284"/>
        <w:jc w:val="both"/>
        <w:rPr>
          <w:rFonts w:ascii="Times New Roman" w:eastAsia="Times New Roman" w:hAnsi="Times New Roman" w:cs="Times New Roman"/>
          <w:sz w:val="24"/>
          <w:szCs w:val="24"/>
          <w:lang w:eastAsia="hr-HR"/>
        </w:rPr>
      </w:pPr>
      <w:r w:rsidRPr="001C5B5C">
        <w:rPr>
          <w:rFonts w:ascii="Times New Roman" w:eastAsia="Times New Roman" w:hAnsi="Times New Roman" w:cs="Times New Roman"/>
          <w:sz w:val="24"/>
          <w:szCs w:val="24"/>
          <w:lang w:eastAsia="hr-HR"/>
        </w:rPr>
        <w:t>Rashodi za nabavu nefinancijske imovine: 33.842,00 EUR</w:t>
      </w:r>
      <w:r w:rsidRPr="001C5B5C">
        <w:rPr>
          <w:rFonts w:ascii="Times New Roman" w:eastAsia="Times New Roman" w:hAnsi="Times New Roman" w:cs="Times New Roman"/>
          <w:sz w:val="24"/>
          <w:szCs w:val="24"/>
          <w:lang w:eastAsia="hr-HR"/>
        </w:rPr>
        <w:tab/>
      </w:r>
    </w:p>
    <w:p w:rsidR="00954DE9" w:rsidRDefault="00125A95" w:rsidP="00954DE9">
      <w:pPr>
        <w:spacing w:after="120"/>
        <w:ind w:firstLine="709"/>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1C5B5C" w:rsidRPr="00954DE9" w:rsidRDefault="00954DE9" w:rsidP="00125A95">
      <w:pPr>
        <w:tabs>
          <w:tab w:val="left" w:pos="284"/>
        </w:tabs>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Pr="00A0024C">
        <w:rPr>
          <w:rFonts w:ascii="Times New Roman" w:hAnsi="Times New Roman" w:cs="Times New Roman"/>
          <w:sz w:val="24"/>
          <w:szCs w:val="24"/>
        </w:rPr>
        <w:t>U okviru decentraliziranih sredstava za djelatnost socijalne skrbi osiguravaju se sredstva za minimalni standard socijalnih ustanova. Visinu sredstava za postizanje minimalnih standarda za svaku proračunsku godinu utvrđuje Vlada Republike Hrvatske Odlukom. Kod domova za starije i nemoćne osobe minimalni standard je propisan za rashode za zaposlene, materijalne rashode, hitne intervencije i rashode za nabavu nefinancijske imovine. Pojedina županija Odlukom raspoređuje sredstva minimalnog standarda na korisnike. Ovim programom želi se održavati i unaprijediti standard i kvaliteta usluga koje se pružaju korisnicima te osigurati redovito poslovanje Doma.</w:t>
      </w:r>
      <w:r>
        <w:rPr>
          <w:rFonts w:ascii="Times New Roman" w:hAnsi="Times New Roman" w:cs="Times New Roman"/>
          <w:sz w:val="24"/>
          <w:szCs w:val="24"/>
        </w:rPr>
        <w:t xml:space="preserve"> </w:t>
      </w:r>
      <w:r w:rsidR="001C5B5C" w:rsidRPr="001C5B5C">
        <w:rPr>
          <w:rFonts w:ascii="Times New Roman" w:eastAsia="Times New Roman" w:hAnsi="Times New Roman" w:cs="Times New Roman"/>
          <w:sz w:val="24"/>
          <w:szCs w:val="24"/>
          <w:lang w:eastAsia="hr-HR"/>
        </w:rPr>
        <w:t xml:space="preserve">Decentralizirana sredstva za 2023. godinu ostaju na razini prošle godine i iznose 4.410.766,00 kn, odnosno 585.409,00 EUR. </w:t>
      </w:r>
    </w:p>
    <w:p w:rsidR="001C5B5C" w:rsidRDefault="001C5B5C" w:rsidP="00116F29">
      <w:pPr>
        <w:spacing w:after="120"/>
        <w:ind w:firstLine="284"/>
        <w:jc w:val="both"/>
        <w:rPr>
          <w:rFonts w:ascii="Times New Roman" w:eastAsia="Times New Roman" w:hAnsi="Times New Roman" w:cs="Times New Roman"/>
          <w:sz w:val="24"/>
          <w:szCs w:val="24"/>
          <w:lang w:eastAsia="hr-HR"/>
        </w:rPr>
      </w:pPr>
      <w:r w:rsidRPr="00194E56">
        <w:rPr>
          <w:rFonts w:ascii="Times New Roman" w:eastAsia="Times New Roman" w:hAnsi="Times New Roman" w:cs="Times New Roman"/>
          <w:b/>
          <w:sz w:val="24"/>
          <w:szCs w:val="24"/>
          <w:u w:val="single"/>
          <w:lang w:eastAsia="hr-HR"/>
        </w:rPr>
        <w:t>Ukupni prihodi</w:t>
      </w:r>
      <w:r w:rsidRPr="001C5B5C">
        <w:rPr>
          <w:rFonts w:ascii="Times New Roman" w:eastAsia="Times New Roman" w:hAnsi="Times New Roman" w:cs="Times New Roman"/>
          <w:sz w:val="24"/>
          <w:szCs w:val="24"/>
          <w:lang w:eastAsia="hr-HR"/>
        </w:rPr>
        <w:t xml:space="preserve"> za 2023. godin</w:t>
      </w:r>
      <w:r w:rsidR="00326236">
        <w:rPr>
          <w:rFonts w:ascii="Times New Roman" w:eastAsia="Times New Roman" w:hAnsi="Times New Roman" w:cs="Times New Roman"/>
          <w:sz w:val="24"/>
          <w:szCs w:val="24"/>
          <w:lang w:eastAsia="hr-HR"/>
        </w:rPr>
        <w:t>u planirani su u iznosu od 3.104.120</w:t>
      </w:r>
      <w:r w:rsidRPr="001C5B5C">
        <w:rPr>
          <w:rFonts w:ascii="Times New Roman" w:eastAsia="Times New Roman" w:hAnsi="Times New Roman" w:cs="Times New Roman"/>
          <w:sz w:val="24"/>
          <w:szCs w:val="24"/>
          <w:lang w:eastAsia="hr-HR"/>
        </w:rPr>
        <w:t>,00 EUR, a</w:t>
      </w:r>
      <w:r w:rsidR="00FB3430">
        <w:rPr>
          <w:rFonts w:ascii="Times New Roman" w:eastAsia="Times New Roman" w:hAnsi="Times New Roman" w:cs="Times New Roman"/>
          <w:sz w:val="24"/>
          <w:szCs w:val="24"/>
          <w:lang w:eastAsia="hr-HR"/>
        </w:rPr>
        <w:t xml:space="preserve"> pregled prihoda</w:t>
      </w:r>
      <w:r w:rsidRPr="001C5B5C">
        <w:rPr>
          <w:rFonts w:ascii="Times New Roman" w:eastAsia="Times New Roman" w:hAnsi="Times New Roman" w:cs="Times New Roman"/>
          <w:sz w:val="24"/>
          <w:szCs w:val="24"/>
          <w:lang w:eastAsia="hr-HR"/>
        </w:rPr>
        <w:t xml:space="preserve"> prema ekonomskoj klasifi</w:t>
      </w:r>
      <w:r w:rsidR="00FB3430">
        <w:rPr>
          <w:rFonts w:ascii="Times New Roman" w:eastAsia="Times New Roman" w:hAnsi="Times New Roman" w:cs="Times New Roman"/>
          <w:sz w:val="24"/>
          <w:szCs w:val="24"/>
          <w:lang w:eastAsia="hr-HR"/>
        </w:rPr>
        <w:t>kaciji na razini skupine daje se u tabličnom prikazu</w:t>
      </w:r>
      <w:r w:rsidRPr="001C5B5C">
        <w:rPr>
          <w:rFonts w:ascii="Times New Roman" w:eastAsia="Times New Roman" w:hAnsi="Times New Roman" w:cs="Times New Roman"/>
          <w:sz w:val="24"/>
          <w:szCs w:val="24"/>
          <w:lang w:eastAsia="hr-HR"/>
        </w:rPr>
        <w:t>:</w:t>
      </w:r>
    </w:p>
    <w:p w:rsidR="00FB3430" w:rsidRDefault="00FB3430" w:rsidP="00733A5C">
      <w:pPr>
        <w:spacing w:after="120"/>
        <w:jc w:val="center"/>
        <w:rPr>
          <w:rFonts w:ascii="Times New Roman" w:eastAsia="Times New Roman" w:hAnsi="Times New Roman" w:cs="Times New Roman"/>
          <w:sz w:val="24"/>
          <w:szCs w:val="24"/>
          <w:lang w:eastAsia="hr-HR"/>
        </w:rPr>
      </w:pPr>
      <w:r w:rsidRPr="00FB3430">
        <w:rPr>
          <w:noProof/>
          <w:lang w:eastAsia="hr-HR"/>
        </w:rPr>
        <w:drawing>
          <wp:inline distT="0" distB="0" distL="0" distR="0" wp14:anchorId="4613DED7" wp14:editId="0358AF8E">
            <wp:extent cx="5670550" cy="2493298"/>
            <wp:effectExtent l="0" t="0" r="635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2493298"/>
                    </a:xfrm>
                    <a:prstGeom prst="rect">
                      <a:avLst/>
                    </a:prstGeom>
                    <a:noFill/>
                    <a:ln>
                      <a:noFill/>
                    </a:ln>
                  </pic:spPr>
                </pic:pic>
              </a:graphicData>
            </a:graphic>
          </wp:inline>
        </w:drawing>
      </w:r>
    </w:p>
    <w:p w:rsidR="001C5B5C" w:rsidRPr="001C5B5C" w:rsidRDefault="001C5B5C" w:rsidP="00116F29">
      <w:pPr>
        <w:spacing w:after="120"/>
        <w:ind w:firstLine="284"/>
        <w:jc w:val="both"/>
        <w:rPr>
          <w:rFonts w:ascii="Arial" w:eastAsia="Times New Roman" w:hAnsi="Arial" w:cs="Arial"/>
          <w:color w:val="FF0000"/>
          <w:sz w:val="24"/>
          <w:szCs w:val="24"/>
          <w:lang w:eastAsia="hr-HR"/>
        </w:rPr>
      </w:pPr>
    </w:p>
    <w:p w:rsidR="00733A5C" w:rsidRDefault="001C5B5C" w:rsidP="00733A5C">
      <w:pPr>
        <w:spacing w:after="240"/>
        <w:ind w:firstLine="284"/>
        <w:jc w:val="both"/>
        <w:rPr>
          <w:rFonts w:ascii="Times New Roman" w:eastAsia="Times New Roman" w:hAnsi="Times New Roman" w:cs="Times New Roman"/>
          <w:sz w:val="24"/>
          <w:szCs w:val="24"/>
          <w:lang w:eastAsia="hr-HR"/>
        </w:rPr>
      </w:pPr>
      <w:r w:rsidRPr="001C5B5C">
        <w:rPr>
          <w:rFonts w:ascii="Times New Roman" w:eastAsia="Times New Roman" w:hAnsi="Times New Roman" w:cs="Times New Roman"/>
          <w:sz w:val="24"/>
          <w:szCs w:val="24"/>
          <w:lang w:eastAsia="hr-HR"/>
        </w:rPr>
        <w:t>Prema izvorima financiranja, prihodi za 2023. godinu planirani su kako slijedi:</w:t>
      </w:r>
    </w:p>
    <w:p w:rsidR="00733A5C" w:rsidRPr="001C5B5C" w:rsidRDefault="00733A5C" w:rsidP="00733A5C">
      <w:pPr>
        <w:spacing w:after="120"/>
        <w:jc w:val="center"/>
        <w:rPr>
          <w:rFonts w:ascii="Times New Roman" w:eastAsia="Times New Roman" w:hAnsi="Times New Roman" w:cs="Times New Roman"/>
          <w:sz w:val="24"/>
          <w:szCs w:val="24"/>
          <w:lang w:eastAsia="hr-HR"/>
        </w:rPr>
      </w:pPr>
      <w:r w:rsidRPr="00733A5C">
        <w:rPr>
          <w:noProof/>
          <w:lang w:eastAsia="hr-HR"/>
        </w:rPr>
        <w:drawing>
          <wp:inline distT="0" distB="0" distL="0" distR="0">
            <wp:extent cx="5427345" cy="1718310"/>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7345" cy="1718310"/>
                    </a:xfrm>
                    <a:prstGeom prst="rect">
                      <a:avLst/>
                    </a:prstGeom>
                    <a:noFill/>
                    <a:ln>
                      <a:noFill/>
                    </a:ln>
                  </pic:spPr>
                </pic:pic>
              </a:graphicData>
            </a:graphic>
          </wp:inline>
        </w:drawing>
      </w:r>
    </w:p>
    <w:p w:rsidR="00733A5C" w:rsidRDefault="00733A5C" w:rsidP="00116F29">
      <w:pPr>
        <w:spacing w:after="120"/>
        <w:ind w:firstLine="284"/>
        <w:jc w:val="both"/>
        <w:rPr>
          <w:rFonts w:ascii="Times New Roman" w:eastAsia="Times New Roman" w:hAnsi="Times New Roman" w:cs="Times New Roman"/>
          <w:sz w:val="24"/>
          <w:szCs w:val="24"/>
          <w:lang w:eastAsia="hr-HR"/>
        </w:rPr>
      </w:pPr>
    </w:p>
    <w:p w:rsidR="00FE530C" w:rsidRDefault="00FE530C" w:rsidP="00E34B80">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Pomoći iz inozemstva i od subjekata unutar općeg proračuna planirana su u iznosu od 6.105,00 EUR i u strukturi ukupnih prihoda čine 0,20%. Navedeni prihodi odnose se na pomoći koje Dom godišnje dobije od Grada Varaždina u iznosu od 3.981,00 EUR i pomoći dobivene u 2022. godini za sufinanciranje dijela troškova energenata koja se nastavlja i u dijelu 2023. godine u preostalom iznosu od 2.124,00 EUR.</w:t>
      </w:r>
    </w:p>
    <w:p w:rsidR="00C50B2D" w:rsidRDefault="00C50B2D" w:rsidP="00E34B80">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Prihodi od imovine</w:t>
      </w:r>
      <w:r w:rsidR="006C68AD">
        <w:rPr>
          <w:rFonts w:ascii="Times New Roman" w:eastAsia="Times New Roman" w:hAnsi="Times New Roman" w:cs="Times New Roman"/>
          <w:sz w:val="24"/>
          <w:szCs w:val="24"/>
          <w:lang w:eastAsia="hr-HR"/>
        </w:rPr>
        <w:t xml:space="preserve"> planirani su u iznosu od 665,00 EUR i odnose se na prihode od kamata na depozite po viđenju.</w:t>
      </w:r>
    </w:p>
    <w:p w:rsidR="00F60555" w:rsidRDefault="00F60555" w:rsidP="00E34B80">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Prihodi od upravnih i administrativnih pristojbi, pristojbi po posebnim propisima i naknada planirani su u iznosu od 2.144.300,00 EUR i odnose se na prihode od opskrbnina, a u strukturi ukupnih prihoda čine najznačajniji udio od 69,08%.</w:t>
      </w:r>
    </w:p>
    <w:p w:rsidR="00691E32" w:rsidRDefault="00691E32" w:rsidP="00E34B80">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Prihodi od prodaje proizvoda i robe te pruženih usluga planirani su u iznosu od 35.835,00 EUR i odnose se na prihode po osnovi zakupa poslovnih prostora.</w:t>
      </w:r>
    </w:p>
    <w:p w:rsidR="00691E32" w:rsidRDefault="00691E32" w:rsidP="00E34B80">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Prihodi iz nadležnog proračuna planirani su u iznosu od 917.215,00 EUR, a odnose se na prihode iz županijskog proračuna u iznosu od 331.806,00 EUR i decentralizirana sredstva u iznosu od 585.409,00 EUR.</w:t>
      </w:r>
    </w:p>
    <w:p w:rsidR="001C5B5C" w:rsidRPr="00E34B80" w:rsidRDefault="001C5B5C" w:rsidP="00E34B80">
      <w:pPr>
        <w:spacing w:after="120"/>
        <w:ind w:firstLine="284"/>
        <w:jc w:val="both"/>
        <w:rPr>
          <w:rFonts w:ascii="Times New Roman" w:eastAsia="Times New Roman" w:hAnsi="Times New Roman" w:cs="Times New Roman"/>
          <w:sz w:val="24"/>
          <w:szCs w:val="24"/>
          <w:lang w:eastAsia="hr-HR"/>
        </w:rPr>
      </w:pPr>
      <w:r w:rsidRPr="001C5B5C">
        <w:rPr>
          <w:rFonts w:ascii="Times New Roman" w:eastAsia="Times New Roman" w:hAnsi="Times New Roman" w:cs="Times New Roman"/>
          <w:sz w:val="24"/>
          <w:szCs w:val="24"/>
          <w:lang w:eastAsia="hr-HR"/>
        </w:rPr>
        <w:t>Zbog povećanja cijena energenata, porasta troškova za plaće zaposlenika, kao i zbog povećanja cijena namirnica predviđen je manjak prihoda u iznosu od 18.000,00 EUR. Prihodi za 2024. i 2025. godinu planirani su u istom iznosu.</w:t>
      </w:r>
    </w:p>
    <w:p w:rsidR="001C5B5C" w:rsidRPr="001C5B5C" w:rsidRDefault="001C5B5C" w:rsidP="00116F29">
      <w:pPr>
        <w:spacing w:after="120"/>
        <w:ind w:firstLine="284"/>
        <w:jc w:val="both"/>
        <w:rPr>
          <w:rFonts w:ascii="Times New Roman" w:eastAsia="Times New Roman" w:hAnsi="Times New Roman" w:cs="Times New Roman"/>
          <w:sz w:val="24"/>
          <w:szCs w:val="24"/>
          <w:lang w:eastAsia="hr-HR"/>
        </w:rPr>
      </w:pPr>
      <w:r w:rsidRPr="009E6CB1">
        <w:rPr>
          <w:rFonts w:ascii="Times New Roman" w:eastAsia="Times New Roman" w:hAnsi="Times New Roman" w:cs="Times New Roman"/>
          <w:b/>
          <w:sz w:val="24"/>
          <w:szCs w:val="24"/>
          <w:u w:val="single"/>
          <w:lang w:eastAsia="hr-HR"/>
        </w:rPr>
        <w:t>Ukupni rashodi</w:t>
      </w:r>
      <w:r w:rsidRPr="001C5B5C">
        <w:rPr>
          <w:rFonts w:ascii="Times New Roman" w:eastAsia="Times New Roman" w:hAnsi="Times New Roman" w:cs="Times New Roman"/>
          <w:b/>
          <w:sz w:val="24"/>
          <w:szCs w:val="24"/>
          <w:lang w:eastAsia="hr-HR"/>
        </w:rPr>
        <w:t xml:space="preserve"> </w:t>
      </w:r>
      <w:r w:rsidRPr="001C5B5C">
        <w:rPr>
          <w:rFonts w:ascii="Times New Roman" w:eastAsia="Times New Roman" w:hAnsi="Times New Roman" w:cs="Times New Roman"/>
          <w:sz w:val="24"/>
          <w:szCs w:val="24"/>
          <w:lang w:eastAsia="hr-HR"/>
        </w:rPr>
        <w:t>za 2023. godinu planirani su u iznosu</w:t>
      </w:r>
      <w:r w:rsidR="00954DE9">
        <w:rPr>
          <w:rFonts w:ascii="Times New Roman" w:eastAsia="Times New Roman" w:hAnsi="Times New Roman" w:cs="Times New Roman"/>
          <w:sz w:val="24"/>
          <w:szCs w:val="24"/>
          <w:lang w:eastAsia="hr-HR"/>
        </w:rPr>
        <w:t xml:space="preserve"> od 2.940.125</w:t>
      </w:r>
      <w:r w:rsidRPr="001C5B5C">
        <w:rPr>
          <w:rFonts w:ascii="Times New Roman" w:eastAsia="Times New Roman" w:hAnsi="Times New Roman" w:cs="Times New Roman"/>
          <w:sz w:val="24"/>
          <w:szCs w:val="24"/>
          <w:lang w:eastAsia="hr-HR"/>
        </w:rPr>
        <w:t>,00 EU</w:t>
      </w:r>
      <w:r w:rsidR="00E34B80">
        <w:rPr>
          <w:rFonts w:ascii="Times New Roman" w:eastAsia="Times New Roman" w:hAnsi="Times New Roman" w:cs="Times New Roman"/>
          <w:sz w:val="24"/>
          <w:szCs w:val="24"/>
          <w:lang w:eastAsia="hr-HR"/>
        </w:rPr>
        <w:t>R</w:t>
      </w:r>
      <w:r w:rsidR="00954DE9">
        <w:rPr>
          <w:rFonts w:ascii="Times New Roman" w:eastAsia="Times New Roman" w:hAnsi="Times New Roman" w:cs="Times New Roman"/>
          <w:sz w:val="24"/>
          <w:szCs w:val="24"/>
          <w:lang w:eastAsia="hr-HR"/>
        </w:rPr>
        <w:t xml:space="preserve">, </w:t>
      </w:r>
      <w:r w:rsidR="00954DE9" w:rsidRPr="00954DE9">
        <w:rPr>
          <w:rFonts w:ascii="Times New Roman" w:eastAsia="Times New Roman" w:hAnsi="Times New Roman" w:cs="Times New Roman"/>
          <w:sz w:val="24"/>
          <w:szCs w:val="24"/>
          <w:u w:val="single"/>
          <w:lang w:eastAsia="hr-HR"/>
        </w:rPr>
        <w:t>rashodi poslovanja</w:t>
      </w:r>
      <w:r w:rsidR="00954DE9">
        <w:rPr>
          <w:rFonts w:ascii="Times New Roman" w:eastAsia="Times New Roman" w:hAnsi="Times New Roman" w:cs="Times New Roman"/>
          <w:sz w:val="24"/>
          <w:szCs w:val="24"/>
          <w:lang w:eastAsia="hr-HR"/>
        </w:rPr>
        <w:t xml:space="preserve"> planirani su u iznosu od 2.906.283,00 EUR</w:t>
      </w:r>
      <w:r w:rsidR="00E34B80">
        <w:rPr>
          <w:rFonts w:ascii="Times New Roman" w:eastAsia="Times New Roman" w:hAnsi="Times New Roman" w:cs="Times New Roman"/>
          <w:sz w:val="24"/>
          <w:szCs w:val="24"/>
          <w:lang w:eastAsia="hr-HR"/>
        </w:rPr>
        <w:t>, a pregled rashoda</w:t>
      </w:r>
      <w:r w:rsidR="00E34B80" w:rsidRPr="001C5B5C">
        <w:rPr>
          <w:rFonts w:ascii="Times New Roman" w:eastAsia="Times New Roman" w:hAnsi="Times New Roman" w:cs="Times New Roman"/>
          <w:sz w:val="24"/>
          <w:szCs w:val="24"/>
          <w:lang w:eastAsia="hr-HR"/>
        </w:rPr>
        <w:t xml:space="preserve"> prema ekonomskoj klasifi</w:t>
      </w:r>
      <w:r w:rsidR="00E34B80">
        <w:rPr>
          <w:rFonts w:ascii="Times New Roman" w:eastAsia="Times New Roman" w:hAnsi="Times New Roman" w:cs="Times New Roman"/>
          <w:sz w:val="24"/>
          <w:szCs w:val="24"/>
          <w:lang w:eastAsia="hr-HR"/>
        </w:rPr>
        <w:t xml:space="preserve">kaciji na razini skupine daje se u tabličnom prikazu </w:t>
      </w:r>
      <w:r w:rsidRPr="001C5B5C">
        <w:rPr>
          <w:rFonts w:ascii="Times New Roman" w:eastAsia="Times New Roman" w:hAnsi="Times New Roman" w:cs="Times New Roman"/>
          <w:sz w:val="24"/>
          <w:szCs w:val="24"/>
          <w:lang w:eastAsia="hr-HR"/>
        </w:rPr>
        <w:t>:</w:t>
      </w:r>
    </w:p>
    <w:p w:rsidR="001C5B5C" w:rsidRDefault="00E34B80" w:rsidP="00E34B80">
      <w:pPr>
        <w:spacing w:after="120"/>
        <w:jc w:val="center"/>
        <w:rPr>
          <w:rFonts w:ascii="Arial" w:eastAsia="Times New Roman" w:hAnsi="Arial" w:cs="Arial"/>
          <w:color w:val="000000"/>
          <w:sz w:val="24"/>
          <w:szCs w:val="24"/>
          <w:lang w:eastAsia="hr-HR"/>
        </w:rPr>
      </w:pPr>
      <w:r w:rsidRPr="00E34B80">
        <w:rPr>
          <w:noProof/>
          <w:lang w:eastAsia="hr-HR"/>
        </w:rPr>
        <w:drawing>
          <wp:inline distT="0" distB="0" distL="0" distR="0" wp14:anchorId="054FF0E2" wp14:editId="66D8B25D">
            <wp:extent cx="5670550" cy="2354327"/>
            <wp:effectExtent l="0" t="0" r="635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0" cy="2354327"/>
                    </a:xfrm>
                    <a:prstGeom prst="rect">
                      <a:avLst/>
                    </a:prstGeom>
                    <a:noFill/>
                    <a:ln>
                      <a:noFill/>
                    </a:ln>
                  </pic:spPr>
                </pic:pic>
              </a:graphicData>
            </a:graphic>
          </wp:inline>
        </w:drawing>
      </w:r>
    </w:p>
    <w:p w:rsidR="002A353B" w:rsidRPr="001C5B5C" w:rsidRDefault="002A353B" w:rsidP="00E34B80">
      <w:pPr>
        <w:spacing w:after="120"/>
        <w:jc w:val="center"/>
        <w:rPr>
          <w:rFonts w:ascii="Arial" w:eastAsia="Times New Roman" w:hAnsi="Arial" w:cs="Arial"/>
          <w:color w:val="000000"/>
          <w:sz w:val="24"/>
          <w:szCs w:val="24"/>
          <w:lang w:eastAsia="hr-HR"/>
        </w:rPr>
      </w:pPr>
    </w:p>
    <w:p w:rsidR="001C5B5C" w:rsidRPr="001C5B5C" w:rsidRDefault="00125A95" w:rsidP="00125A95">
      <w:pPr>
        <w:tabs>
          <w:tab w:val="left" w:pos="284"/>
        </w:tabs>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1C5B5C" w:rsidRPr="001C5B5C">
        <w:rPr>
          <w:rFonts w:ascii="Times New Roman" w:eastAsia="Times New Roman" w:hAnsi="Times New Roman" w:cs="Times New Roman"/>
          <w:color w:val="000000"/>
          <w:sz w:val="24"/>
          <w:szCs w:val="24"/>
          <w:lang w:eastAsia="hr-HR"/>
        </w:rPr>
        <w:t>Prema izvorima financiranja, rashodi za 2023. godinu planirani su kako slijedi:</w:t>
      </w:r>
    </w:p>
    <w:p w:rsidR="00E34B80" w:rsidRDefault="00E34B80" w:rsidP="00E34B80">
      <w:pPr>
        <w:spacing w:after="120"/>
        <w:jc w:val="center"/>
        <w:rPr>
          <w:rFonts w:ascii="Times New Roman" w:eastAsia="Times New Roman" w:hAnsi="Times New Roman" w:cs="Times New Roman"/>
          <w:sz w:val="24"/>
          <w:szCs w:val="24"/>
          <w:lang w:eastAsia="hr-HR"/>
        </w:rPr>
      </w:pPr>
      <w:r w:rsidRPr="00E34B80">
        <w:rPr>
          <w:noProof/>
          <w:lang w:eastAsia="hr-HR"/>
        </w:rPr>
        <w:drawing>
          <wp:inline distT="0" distB="0" distL="0" distR="0">
            <wp:extent cx="5427345" cy="1718310"/>
            <wp:effectExtent l="0" t="0" r="190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7345" cy="1718310"/>
                    </a:xfrm>
                    <a:prstGeom prst="rect">
                      <a:avLst/>
                    </a:prstGeom>
                    <a:noFill/>
                    <a:ln>
                      <a:noFill/>
                    </a:ln>
                  </pic:spPr>
                </pic:pic>
              </a:graphicData>
            </a:graphic>
          </wp:inline>
        </w:drawing>
      </w:r>
    </w:p>
    <w:p w:rsidR="00E34B80" w:rsidRDefault="00E34B80" w:rsidP="00116F29">
      <w:pPr>
        <w:spacing w:after="120"/>
        <w:ind w:firstLine="284"/>
        <w:jc w:val="both"/>
        <w:rPr>
          <w:rFonts w:ascii="Times New Roman" w:eastAsia="Times New Roman" w:hAnsi="Times New Roman" w:cs="Times New Roman"/>
          <w:sz w:val="24"/>
          <w:szCs w:val="24"/>
          <w:lang w:eastAsia="hr-HR"/>
        </w:rPr>
      </w:pPr>
    </w:p>
    <w:p w:rsidR="009C4BF6" w:rsidRDefault="009C4BF6" w:rsidP="00116F29">
      <w:pPr>
        <w:spacing w:after="120"/>
        <w:ind w:firstLine="284"/>
        <w:jc w:val="both"/>
        <w:rPr>
          <w:rFonts w:ascii="Times New Roman" w:eastAsia="Times New Roman" w:hAnsi="Times New Roman" w:cs="Times New Roman"/>
          <w:sz w:val="24"/>
          <w:szCs w:val="24"/>
          <w:lang w:eastAsia="hr-HR"/>
        </w:rPr>
      </w:pPr>
      <w:r w:rsidRPr="009C4BF6">
        <w:rPr>
          <w:rFonts w:ascii="Times New Roman" w:eastAsia="Times New Roman" w:hAnsi="Times New Roman" w:cs="Times New Roman"/>
          <w:sz w:val="24"/>
          <w:szCs w:val="24"/>
          <w:lang w:eastAsia="hr-HR"/>
        </w:rPr>
        <w:t xml:space="preserve">Rashodi </w:t>
      </w:r>
      <w:r>
        <w:rPr>
          <w:rFonts w:ascii="Times New Roman" w:eastAsia="Times New Roman" w:hAnsi="Times New Roman" w:cs="Times New Roman"/>
          <w:sz w:val="24"/>
          <w:szCs w:val="24"/>
          <w:lang w:eastAsia="hr-HR"/>
        </w:rPr>
        <w:t>za zaposlene planirani su u iznosu od 1.577.595,00 EUR i u strukturi ukupnih rashoda čine najznačajniji udio od 53,66%. U ovoj skupini rashoda planirane su bruto plaće zaposlenih, ostali rashodi za zaposlene i doprinosi na plaće. Navedeni rashodi financiraju se iz tri izvora financiranja – iz izvora 11 (opći prihodi i primici) u iznosu od 79.633,00 EUR, iz izvora 43 (ostali prihodi za posebne namjene) u iznosu od 945.736,00 EUR i iz izvora 44 (decentralizirana sredstva) u iznosu od 552.226,00 EUR.</w:t>
      </w:r>
    </w:p>
    <w:p w:rsidR="0082775A" w:rsidRDefault="0082775A" w:rsidP="00116F29">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Materijalni rashodi planirani su u ukupnom iznosu od 1.311.718,00 EUR i u strukturi ukupnih rashoda iznose 44,61%. Obuhvaćaju rashode za potrebe redovnog poslovanja i odnose se na nadoknade troškova zaposlenima, rashode za materijal i energiju, rashode za usluge te ostale nespomenute rashode poslovanja.</w:t>
      </w:r>
    </w:p>
    <w:p w:rsidR="006455E6" w:rsidRDefault="006455E6" w:rsidP="00116F29">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Financijski rashodi planirani su u iznosu od 13.920,00 EUR i u ukupnoj strukturi rashoda čine 0,47%. Odnose se na kamate za primljene kredite, zatezne kamate zbog kašnjenja u podmirivanju obveza, uslugama platnog prometa.</w:t>
      </w:r>
    </w:p>
    <w:p w:rsidR="00CE19EE" w:rsidRPr="009C4BF6" w:rsidRDefault="00CE19EE" w:rsidP="00116F29">
      <w:pPr>
        <w:spacing w:after="120"/>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Naknade građanima i kućanstvima planirane su u iznosu od 3.050,00 EUR, čine najmanji udio u strukturi ukupnih rashoda, a odnose se na džeparac korisnika i kulturne potrebe korisnika.</w:t>
      </w:r>
    </w:p>
    <w:p w:rsidR="001C5B5C" w:rsidRDefault="001C5B5C" w:rsidP="00116F29">
      <w:pPr>
        <w:spacing w:after="120"/>
        <w:ind w:firstLine="284"/>
        <w:jc w:val="both"/>
        <w:rPr>
          <w:rFonts w:ascii="Times New Roman" w:eastAsia="Times New Roman" w:hAnsi="Times New Roman" w:cs="Times New Roman"/>
          <w:sz w:val="24"/>
          <w:szCs w:val="24"/>
          <w:lang w:eastAsia="hr-HR"/>
        </w:rPr>
      </w:pPr>
      <w:r w:rsidRPr="00954DE9">
        <w:rPr>
          <w:rFonts w:ascii="Times New Roman" w:eastAsia="Times New Roman" w:hAnsi="Times New Roman" w:cs="Times New Roman"/>
          <w:sz w:val="24"/>
          <w:szCs w:val="24"/>
          <w:u w:val="single"/>
          <w:lang w:eastAsia="hr-HR"/>
        </w:rPr>
        <w:t>Rashodi za nabavu nefinancijske imovine</w:t>
      </w:r>
      <w:r w:rsidRPr="001C5B5C">
        <w:rPr>
          <w:rFonts w:ascii="Times New Roman" w:eastAsia="Times New Roman" w:hAnsi="Times New Roman" w:cs="Times New Roman"/>
          <w:sz w:val="24"/>
          <w:szCs w:val="24"/>
          <w:lang w:eastAsia="hr-HR"/>
        </w:rPr>
        <w:t xml:space="preserve"> planirani su u ukupnom iznosu od 33.842,00 EUR, a prema izvorima financiranja financirali bi se iz izvora 31 u iznosu od 16.588,00 EUR i od izvora 44 u iznosu od 17.254,00 EUR.</w:t>
      </w:r>
    </w:p>
    <w:p w:rsidR="001C5B5C" w:rsidRDefault="001C5B5C" w:rsidP="00116F29">
      <w:pPr>
        <w:spacing w:after="120"/>
        <w:ind w:firstLine="284"/>
        <w:jc w:val="both"/>
        <w:rPr>
          <w:rFonts w:ascii="Times New Roman" w:eastAsia="Times New Roman" w:hAnsi="Times New Roman" w:cs="Times New Roman"/>
          <w:sz w:val="24"/>
          <w:szCs w:val="24"/>
          <w:lang w:eastAsia="hr-HR"/>
        </w:rPr>
      </w:pPr>
    </w:p>
    <w:p w:rsidR="001C5B5C" w:rsidRPr="00F04C3C" w:rsidRDefault="001C5B5C" w:rsidP="00F04C3C">
      <w:pPr>
        <w:pStyle w:val="Odlomakpopisa"/>
        <w:numPr>
          <w:ilvl w:val="0"/>
          <w:numId w:val="1"/>
        </w:numPr>
        <w:spacing w:after="240"/>
        <w:ind w:left="284" w:hanging="284"/>
        <w:contextualSpacing w:val="0"/>
        <w:jc w:val="both"/>
        <w:rPr>
          <w:rFonts w:ascii="Times New Roman" w:hAnsi="Times New Roman" w:cs="Times New Roman"/>
          <w:b/>
          <w:i/>
          <w:sz w:val="24"/>
          <w:szCs w:val="24"/>
          <w:u w:val="single"/>
        </w:rPr>
      </w:pPr>
      <w:r>
        <w:rPr>
          <w:rFonts w:ascii="Times New Roman" w:hAnsi="Times New Roman" w:cs="Times New Roman"/>
          <w:b/>
          <w:i/>
          <w:sz w:val="24"/>
          <w:szCs w:val="24"/>
          <w:u w:val="single"/>
        </w:rPr>
        <w:t>RAČUN FINANCIRANJA</w:t>
      </w:r>
    </w:p>
    <w:p w:rsidR="001C5B5C" w:rsidRPr="001C5B5C" w:rsidRDefault="001C5B5C" w:rsidP="00116F29">
      <w:pPr>
        <w:spacing w:after="120"/>
        <w:ind w:firstLine="284"/>
        <w:jc w:val="both"/>
        <w:rPr>
          <w:rFonts w:ascii="Times New Roman" w:eastAsia="Times New Roman" w:hAnsi="Times New Roman" w:cs="Times New Roman"/>
          <w:sz w:val="24"/>
          <w:szCs w:val="24"/>
          <w:lang w:eastAsia="hr-HR"/>
        </w:rPr>
      </w:pPr>
      <w:r w:rsidRPr="001C5B5C">
        <w:rPr>
          <w:rFonts w:ascii="Times New Roman" w:eastAsia="Times New Roman" w:hAnsi="Times New Roman" w:cs="Times New Roman"/>
          <w:sz w:val="24"/>
          <w:szCs w:val="24"/>
          <w:lang w:eastAsia="hr-HR"/>
        </w:rPr>
        <w:t xml:space="preserve">U </w:t>
      </w:r>
      <w:r w:rsidRPr="001C5B5C">
        <w:rPr>
          <w:rFonts w:ascii="Times New Roman" w:eastAsia="Times New Roman" w:hAnsi="Times New Roman" w:cs="Times New Roman"/>
          <w:b/>
          <w:sz w:val="24"/>
          <w:szCs w:val="24"/>
          <w:lang w:eastAsia="hr-HR"/>
        </w:rPr>
        <w:t xml:space="preserve">Računu financiranja </w:t>
      </w:r>
      <w:r w:rsidRPr="001C5B5C">
        <w:rPr>
          <w:rFonts w:ascii="Times New Roman" w:eastAsia="Times New Roman" w:hAnsi="Times New Roman" w:cs="Times New Roman"/>
          <w:sz w:val="24"/>
          <w:szCs w:val="24"/>
          <w:lang w:eastAsia="hr-HR"/>
        </w:rPr>
        <w:t>planirani su izdaci za otplatu glavnice primljenih kredita i zajmova u iznosu od 145.995,00 EUR. Od ukupnog iznosa, 117.495,00 EUR odnosi se na otplatu glavnice primljenog kredita od Hrvatske banke za obnovu i razvitak (HBOR), a 28.500,00 EUR se odnosi na otplatu glavnice primljenog kredita od Zagrebačke banke.</w:t>
      </w:r>
    </w:p>
    <w:p w:rsidR="001C5B5C" w:rsidRDefault="001C5B5C"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250C44">
      <w:pPr>
        <w:spacing w:after="120"/>
        <w:ind w:firstLine="284"/>
        <w:jc w:val="both"/>
        <w:rPr>
          <w:rFonts w:ascii="Times New Roman" w:hAnsi="Times New Roman" w:cs="Times New Roman"/>
          <w:sz w:val="24"/>
          <w:szCs w:val="24"/>
        </w:rPr>
      </w:pPr>
    </w:p>
    <w:p w:rsidR="00D50432" w:rsidRDefault="00D50432" w:rsidP="00D50432">
      <w:pPr>
        <w:spacing w:after="120"/>
        <w:jc w:val="center"/>
        <w:rPr>
          <w:rFonts w:ascii="Times New Roman" w:hAnsi="Times New Roman" w:cs="Times New Roman"/>
          <w:b/>
          <w:sz w:val="48"/>
          <w:szCs w:val="48"/>
        </w:rPr>
      </w:pPr>
    </w:p>
    <w:p w:rsidR="00D50432" w:rsidRDefault="00D50432" w:rsidP="00D50432">
      <w:pPr>
        <w:spacing w:after="120"/>
        <w:jc w:val="center"/>
        <w:rPr>
          <w:rFonts w:ascii="Times New Roman" w:hAnsi="Times New Roman" w:cs="Times New Roman"/>
          <w:b/>
          <w:sz w:val="48"/>
          <w:szCs w:val="48"/>
        </w:rPr>
      </w:pPr>
    </w:p>
    <w:p w:rsidR="00D50432" w:rsidRDefault="00D50432" w:rsidP="00D50432">
      <w:pPr>
        <w:spacing w:after="120"/>
        <w:jc w:val="center"/>
        <w:rPr>
          <w:rFonts w:ascii="Times New Roman" w:hAnsi="Times New Roman" w:cs="Times New Roman"/>
          <w:b/>
          <w:sz w:val="48"/>
          <w:szCs w:val="48"/>
        </w:rPr>
      </w:pPr>
    </w:p>
    <w:p w:rsidR="00D50432" w:rsidRPr="00D50432" w:rsidRDefault="00D50432" w:rsidP="00D50432">
      <w:pPr>
        <w:spacing w:after="120"/>
        <w:jc w:val="center"/>
        <w:rPr>
          <w:rFonts w:ascii="Times New Roman" w:hAnsi="Times New Roman" w:cs="Times New Roman"/>
          <w:b/>
          <w:sz w:val="24"/>
          <w:szCs w:val="24"/>
        </w:rPr>
      </w:pPr>
    </w:p>
    <w:p w:rsidR="00D50432" w:rsidRDefault="00D50432" w:rsidP="00D50432">
      <w:pPr>
        <w:spacing w:after="120"/>
        <w:jc w:val="center"/>
        <w:rPr>
          <w:rFonts w:ascii="Times New Roman" w:hAnsi="Times New Roman" w:cs="Times New Roman"/>
          <w:b/>
          <w:sz w:val="48"/>
          <w:szCs w:val="48"/>
        </w:rPr>
      </w:pPr>
    </w:p>
    <w:p w:rsidR="00827599" w:rsidRDefault="00827599" w:rsidP="00D50432">
      <w:pPr>
        <w:spacing w:after="120"/>
        <w:jc w:val="center"/>
        <w:rPr>
          <w:rFonts w:ascii="Times New Roman" w:hAnsi="Times New Roman" w:cs="Times New Roman"/>
          <w:b/>
          <w:sz w:val="48"/>
          <w:szCs w:val="48"/>
        </w:rPr>
      </w:pP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OBRAZLOŽENJE</w:t>
      </w:r>
      <w:r>
        <w:rPr>
          <w:rFonts w:ascii="Times New Roman" w:hAnsi="Times New Roman" w:cs="Times New Roman"/>
          <w:b/>
          <w:sz w:val="48"/>
          <w:szCs w:val="48"/>
        </w:rPr>
        <w:t xml:space="preserve"> POSEBNOG</w:t>
      </w:r>
      <w:r w:rsidRPr="00FB4269">
        <w:rPr>
          <w:rFonts w:ascii="Times New Roman" w:hAnsi="Times New Roman" w:cs="Times New Roman"/>
          <w:b/>
          <w:sz w:val="48"/>
          <w:szCs w:val="48"/>
        </w:rPr>
        <w:t xml:space="preserve"> DIJELA</w:t>
      </w: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FINANCIJSKOG PLANA</w:t>
      </w: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ZA 2023. GODINU</w:t>
      </w:r>
    </w:p>
    <w:p w:rsidR="00D50432"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I</w:t>
      </w:r>
    </w:p>
    <w:p w:rsidR="00D50432" w:rsidRPr="00FB4269" w:rsidRDefault="00D50432" w:rsidP="00D50432">
      <w:pPr>
        <w:spacing w:after="120"/>
        <w:jc w:val="center"/>
        <w:rPr>
          <w:rFonts w:ascii="Times New Roman" w:hAnsi="Times New Roman" w:cs="Times New Roman"/>
          <w:b/>
          <w:sz w:val="48"/>
          <w:szCs w:val="48"/>
        </w:rPr>
      </w:pPr>
      <w:r w:rsidRPr="00FB4269">
        <w:rPr>
          <w:rFonts w:ascii="Times New Roman" w:hAnsi="Times New Roman" w:cs="Times New Roman"/>
          <w:b/>
          <w:sz w:val="48"/>
          <w:szCs w:val="48"/>
        </w:rPr>
        <w:t xml:space="preserve"> PROJEKCIJE ZA 2024. I 2025. GODINU</w:t>
      </w:r>
    </w:p>
    <w:p w:rsidR="00D50432" w:rsidRDefault="00D5043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036AF2" w:rsidRDefault="00036AF2" w:rsidP="00250C44">
      <w:pPr>
        <w:spacing w:after="120"/>
        <w:ind w:firstLine="284"/>
        <w:jc w:val="both"/>
        <w:rPr>
          <w:rFonts w:ascii="Times New Roman" w:hAnsi="Times New Roman" w:cs="Times New Roman"/>
          <w:sz w:val="24"/>
          <w:szCs w:val="24"/>
        </w:rPr>
      </w:pPr>
    </w:p>
    <w:p w:rsidR="00B95ADA" w:rsidRDefault="00B95ADA" w:rsidP="00250C44">
      <w:pPr>
        <w:spacing w:after="120"/>
        <w:ind w:firstLine="284"/>
        <w:jc w:val="both"/>
        <w:rPr>
          <w:rFonts w:ascii="Times New Roman" w:hAnsi="Times New Roman" w:cs="Times New Roman"/>
          <w:sz w:val="24"/>
          <w:szCs w:val="24"/>
        </w:rPr>
      </w:pPr>
    </w:p>
    <w:p w:rsidR="00B95ADA" w:rsidRDefault="00B95ADA" w:rsidP="00250C44">
      <w:pPr>
        <w:spacing w:after="120"/>
        <w:ind w:firstLine="284"/>
        <w:jc w:val="both"/>
        <w:rPr>
          <w:rFonts w:ascii="Times New Roman" w:hAnsi="Times New Roman" w:cs="Times New Roman"/>
          <w:sz w:val="24"/>
          <w:szCs w:val="24"/>
        </w:rPr>
      </w:pPr>
    </w:p>
    <w:p w:rsidR="00B95ADA" w:rsidRDefault="00B95ADA" w:rsidP="00250C44">
      <w:pPr>
        <w:spacing w:after="120"/>
        <w:ind w:firstLine="284"/>
        <w:jc w:val="both"/>
        <w:rPr>
          <w:rFonts w:ascii="Times New Roman" w:hAnsi="Times New Roman" w:cs="Times New Roman"/>
          <w:sz w:val="24"/>
          <w:szCs w:val="24"/>
        </w:rPr>
      </w:pPr>
    </w:p>
    <w:p w:rsidR="00036AF2" w:rsidRDefault="00036AF2" w:rsidP="00524FEB">
      <w:pPr>
        <w:spacing w:after="120"/>
        <w:jc w:val="both"/>
        <w:rPr>
          <w:rFonts w:ascii="Times New Roman" w:hAnsi="Times New Roman" w:cs="Times New Roman"/>
          <w:sz w:val="24"/>
          <w:szCs w:val="24"/>
        </w:rPr>
      </w:pPr>
    </w:p>
    <w:tbl>
      <w:tblPr>
        <w:tblW w:w="10331" w:type="dxa"/>
        <w:jc w:val="center"/>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650"/>
        <w:gridCol w:w="65"/>
      </w:tblGrid>
      <w:tr w:rsidR="0035082C" w:rsidRPr="0035082C" w:rsidTr="00A11AEA">
        <w:trPr>
          <w:trHeight w:val="775"/>
          <w:tblCellSpacing w:w="20" w:type="dxa"/>
          <w:jc w:val="center"/>
        </w:trPr>
        <w:tc>
          <w:tcPr>
            <w:tcW w:w="10251" w:type="dxa"/>
            <w:gridSpan w:val="2"/>
            <w:shd w:val="clear" w:color="auto" w:fill="44546A"/>
          </w:tcPr>
          <w:p w:rsidR="0035082C" w:rsidRPr="0035082C" w:rsidRDefault="0035082C" w:rsidP="0035082C">
            <w:pPr>
              <w:keepNext/>
              <w:spacing w:before="240" w:after="240" w:line="240" w:lineRule="auto"/>
              <w:outlineLvl w:val="0"/>
              <w:rPr>
                <w:rFonts w:ascii="Arial" w:eastAsia="Times New Roman" w:hAnsi="Arial" w:cs="Arial"/>
                <w:b/>
                <w:bCs/>
                <w:color w:val="FFFFFF"/>
                <w:sz w:val="20"/>
                <w:szCs w:val="20"/>
                <w:lang w:eastAsia="hr-HR"/>
              </w:rPr>
            </w:pPr>
            <w:r w:rsidRPr="0035082C">
              <w:rPr>
                <w:rFonts w:ascii="Arial" w:eastAsia="Times New Roman" w:hAnsi="Arial" w:cs="Arial"/>
                <w:b/>
                <w:bCs/>
                <w:color w:val="FFFFFF"/>
                <w:sz w:val="20"/>
                <w:szCs w:val="20"/>
                <w:lang w:eastAsia="hr-HR"/>
              </w:rPr>
              <w:t>DOM ZA STARIJE I NEMOĆNE OSOBE VARAŽDIN</w:t>
            </w:r>
          </w:p>
        </w:tc>
      </w:tr>
      <w:tr w:rsidR="0035082C" w:rsidRPr="0035082C" w:rsidTr="00A11AEA">
        <w:trPr>
          <w:trHeight w:val="70"/>
          <w:tblCellSpacing w:w="20" w:type="dxa"/>
          <w:jc w:val="center"/>
        </w:trPr>
        <w:tc>
          <w:tcPr>
            <w:tcW w:w="10251" w:type="dxa"/>
            <w:gridSpan w:val="2"/>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SAŽETAK DJELOKRUGA RADA:</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Dom za starije i nemoćne osobe Varaždin pruža usluge skrbi izvan vlastite obitelji starijim i nemoćnim osobama, kojim je zbog trajnih promjena u zdravstvenom stanju i nemoći, prijeko potrebna stalna pomoć i njega druge osobe. U okviru smještaja pružaju se usluge: stanovanja i prehrane, brige o zdravlju, njege, održavanje osobne higijene i pomoći pri obavljanju svakodnevnih aktivnosti, usluge socijalnog rada, psihosocijalne terapije, radnih aktivnosti, organiziranja slobodnog vremena, organiziranog prijevoza i savjetodavnog rada. Uz osnovnu uslugu smještaja, skrbi i zbrinjavanja osoba starije životne dobi, a kao odgovor na potrebe lokalne zajednice koja stari, Dom pruža i dodatne usluge putem Dnevnog centra i Kluba za starije osobe (koji danas djeluje kao Udruga u prostorima Doma). </w:t>
            </w:r>
          </w:p>
        </w:tc>
      </w:tr>
      <w:tr w:rsidR="0035082C" w:rsidRPr="0035082C" w:rsidTr="00A11AEA">
        <w:trPr>
          <w:trHeight w:val="64"/>
          <w:tblCellSpacing w:w="20" w:type="dxa"/>
          <w:jc w:val="center"/>
        </w:trPr>
        <w:tc>
          <w:tcPr>
            <w:tcW w:w="10251" w:type="dxa"/>
            <w:gridSpan w:val="2"/>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ORGANIZACIJSKA STRUKTURA:</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Sukladno Statutu Doma, rad je organiziran kroz slijedeće ustrojbene odjele, ovisno o srodnosti i povezanosti poslova te potrebnog broja izvršitelja za njihovo obavljanje: </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socijalnog rada, stanovanja, radne terapije i Dnevnog centra: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socijalnog rada, radne  terapije i brige o zdravlju u Domu i Dnevnom centru</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radnih, kulturno-zabavnih i rekreativnih aktivnosti u Domu i DC-u</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njege korisnika i zdravstvene zaštite u DC-u</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fizikalne terapije</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pranja, glačanja i šivanja</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gerijatrijsko-zdravstvene njege i brige o zdravlju i OGZNJ i demencije:</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zdravstvene zaštite i njege korisnika na OGZNJ i stambenom dijelu Doma</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pružanja odgovarajućih usluga primarne, sekundarne i tercijarne prevencije, utvrđivanja zdravstvenih potreba i funkcionalne onesposobljenosti starijih osoba i fizikalna terapija</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računovodstvenih i općih poslova: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financijsko-računovodstveni poslovi</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administrativno-kadrovski poslovi</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recepcije</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Odjel tehničko-pomoćnih poslova: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nabavka, skladištenje i čuvanje prehrambenih artikala i sitnog inventara Doma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provođenje HACCP sustava u cijeloj ustanovi</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popravci i  održavanje inventara, uređaja i postrojenja za paru i centralno grijanje</w:t>
            </w:r>
          </w:p>
          <w:p w:rsidR="0035082C" w:rsidRPr="0035082C" w:rsidRDefault="0035082C" w:rsidP="0035082C">
            <w:pPr>
              <w:numPr>
                <w:ilvl w:val="0"/>
                <w:numId w:val="4"/>
              </w:numPr>
              <w:spacing w:after="12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čišćenje i uređivanje unutrašnjosti Doma i okoliša</w:t>
            </w:r>
          </w:p>
          <w:p w:rsidR="0035082C" w:rsidRPr="0035082C" w:rsidRDefault="0035082C" w:rsidP="0035082C">
            <w:pPr>
              <w:numPr>
                <w:ilvl w:val="0"/>
                <w:numId w:val="5"/>
              </w:numPr>
              <w:spacing w:after="120" w:line="240" w:lineRule="auto"/>
              <w:ind w:left="142" w:hanging="142"/>
              <w:contextualSpacing/>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sz w:val="24"/>
                <w:szCs w:val="24"/>
                <w:lang w:eastAsia="hr-HR"/>
              </w:rPr>
              <w:t>Odjel prehrane i posluživanja</w:t>
            </w:r>
            <w:r w:rsidRPr="0035082C">
              <w:rPr>
                <w:rFonts w:ascii="Times New Roman" w:eastAsia="Times New Roman" w:hAnsi="Times New Roman" w:cs="Times New Roman"/>
                <w:b/>
                <w:sz w:val="24"/>
                <w:szCs w:val="24"/>
                <w:lang w:eastAsia="hr-HR"/>
              </w:rPr>
              <w:t>:</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pripreme, izdavanja i serviranja hrane</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poslovi pranja suđa, čišćenja kuhinje i restorana</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poslovi čuvanja namirnica i hrane </w:t>
            </w:r>
          </w:p>
          <w:p w:rsidR="0035082C" w:rsidRPr="0035082C" w:rsidRDefault="0035082C" w:rsidP="0035082C">
            <w:pPr>
              <w:numPr>
                <w:ilvl w:val="0"/>
                <w:numId w:val="4"/>
              </w:numPr>
              <w:spacing w:after="0" w:line="240" w:lineRule="auto"/>
              <w:ind w:left="426" w:hanging="142"/>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provođenje HACCP sustava</w:t>
            </w:r>
          </w:p>
          <w:p w:rsidR="0035082C" w:rsidRPr="0035082C" w:rsidRDefault="0035082C" w:rsidP="0035082C">
            <w:pPr>
              <w:spacing w:after="60" w:line="240" w:lineRule="auto"/>
              <w:ind w:left="720" w:hanging="720"/>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 xml:space="preserve">Odjelima rukovode voditelji odjela koji ujedno imaju svoje osnovno zanimanje. </w:t>
            </w:r>
          </w:p>
          <w:p w:rsidR="0035082C" w:rsidRPr="0035082C" w:rsidRDefault="0035082C" w:rsidP="0035082C">
            <w:pPr>
              <w:spacing w:before="120" w:after="0" w:line="240" w:lineRule="auto"/>
              <w:jc w:val="both"/>
              <w:rPr>
                <w:rFonts w:ascii="Arial" w:eastAsia="Times New Roman" w:hAnsi="Arial" w:cs="Arial"/>
                <w:sz w:val="18"/>
                <w:szCs w:val="18"/>
                <w:highlight w:val="yellow"/>
                <w:lang w:eastAsia="hr-HR"/>
              </w:rPr>
            </w:pPr>
          </w:p>
          <w:p w:rsidR="0035082C" w:rsidRPr="0035082C" w:rsidRDefault="0035082C" w:rsidP="0035082C">
            <w:pPr>
              <w:spacing w:before="120" w:after="0" w:line="240" w:lineRule="auto"/>
              <w:jc w:val="both"/>
              <w:rPr>
                <w:rFonts w:ascii="Arial" w:eastAsia="Times New Roman" w:hAnsi="Arial" w:cs="Arial"/>
                <w:sz w:val="18"/>
                <w:szCs w:val="18"/>
                <w:highlight w:val="yellow"/>
                <w:lang w:eastAsia="hr-HR"/>
              </w:rPr>
            </w:pP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77"/>
          <w:tblCellSpacing w:w="20" w:type="dxa"/>
          <w:jc w:val="center"/>
        </w:trPr>
        <w:tc>
          <w:tcPr>
            <w:tcW w:w="10119" w:type="dxa"/>
            <w:tcBorders>
              <w:top w:val="single" w:sz="4" w:space="0" w:color="A6A6A6"/>
              <w:left w:val="single" w:sz="4" w:space="0" w:color="A6A6A6"/>
              <w:bottom w:val="dotted" w:sz="4" w:space="0" w:color="auto"/>
              <w:right w:val="single" w:sz="4" w:space="0" w:color="A6A6A6"/>
            </w:tcBorders>
            <w:shd w:val="clear" w:color="auto" w:fill="BDD6EE"/>
          </w:tcPr>
          <w:p w:rsidR="0035082C" w:rsidRPr="0035082C" w:rsidRDefault="0035082C" w:rsidP="0035082C">
            <w:pPr>
              <w:keepNext/>
              <w:pageBreakBefore/>
              <w:spacing w:before="240" w:after="240" w:line="240" w:lineRule="auto"/>
              <w:outlineLvl w:val="0"/>
              <w:rPr>
                <w:rFonts w:ascii="Arial" w:eastAsia="Times New Roman" w:hAnsi="Arial" w:cs="Arial"/>
                <w:b/>
                <w:bCs/>
                <w:sz w:val="18"/>
                <w:szCs w:val="18"/>
                <w:lang w:eastAsia="hr-HR"/>
              </w:rPr>
            </w:pPr>
            <w:r w:rsidRPr="0035082C">
              <w:rPr>
                <w:rFonts w:ascii="Arial" w:eastAsia="Times New Roman" w:hAnsi="Arial" w:cs="Arial"/>
                <w:b/>
                <w:bCs/>
                <w:sz w:val="18"/>
                <w:szCs w:val="18"/>
                <w:lang w:val="x-none" w:eastAsia="hr-HR"/>
              </w:rPr>
              <w:t xml:space="preserve">PROGRAM: </w:t>
            </w:r>
            <w:r w:rsidRPr="0035082C">
              <w:rPr>
                <w:rFonts w:ascii="Arial" w:eastAsia="Times New Roman" w:hAnsi="Arial" w:cs="Arial"/>
                <w:b/>
                <w:bCs/>
                <w:sz w:val="18"/>
                <w:szCs w:val="18"/>
                <w:lang w:val="x-none" w:eastAsia="x-none"/>
              </w:rPr>
              <w:t>DOM ZA STARIJE I NEMOĆNE OSOBE VARAŽDIN</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93"/>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OPIS PROGRAMA:</w:t>
            </w:r>
          </w:p>
          <w:p w:rsidR="0035082C" w:rsidRPr="0035082C" w:rsidRDefault="0035082C" w:rsidP="0035082C">
            <w:pPr>
              <w:tabs>
                <w:tab w:val="left" w:pos="709"/>
              </w:tabs>
              <w:spacing w:after="120" w:line="240" w:lineRule="auto"/>
              <w:jc w:val="both"/>
              <w:rPr>
                <w:rFonts w:ascii="Times New Roman" w:eastAsia="Times New Roman" w:hAnsi="Times New Roman" w:cs="Times New Roman"/>
                <w:color w:val="000000"/>
                <w:sz w:val="24"/>
                <w:szCs w:val="24"/>
                <w:lang w:eastAsia="hr-HR"/>
              </w:rPr>
            </w:pPr>
            <w:r w:rsidRPr="0035082C">
              <w:rPr>
                <w:rFonts w:ascii="Times New Roman" w:eastAsia="Times New Roman" w:hAnsi="Times New Roman" w:cs="Times New Roman"/>
                <w:color w:val="000000"/>
                <w:sz w:val="24"/>
                <w:szCs w:val="24"/>
                <w:lang w:eastAsia="hr-HR"/>
              </w:rPr>
              <w:t>Ovim programom želi se održavati i unaprijediti standard i kvaliteta usluga koje se pružaju korisnicima te osigurati redovito poslovanje Doma-osiguranim sredstvima izvršiti nabavu roba i usluga, te zbrinjavanje i skrb o starijim osobama podići na višu razinu.</w:t>
            </w:r>
          </w:p>
          <w:p w:rsidR="0035082C" w:rsidRPr="0035082C" w:rsidRDefault="0035082C" w:rsidP="0035082C">
            <w:pPr>
              <w:spacing w:after="120" w:line="240" w:lineRule="auto"/>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sz w:val="24"/>
                <w:szCs w:val="24"/>
                <w:lang w:eastAsia="hr-HR"/>
              </w:rPr>
              <w:t>Odlukom o kriterijima, mjerilima i načinu financiranja domova za starije osobe utvrđuje se godišnja visina sredstava za decentralizirano financiranje po slijedećim skupinama rashoda: rashodi za zaposlene, materijalni i financijski rashodi, rashodi za nabavu nefinancijske imovine i za hitne intervencije. Prema Uputi Ministarstva financija ukupan iznos sredstava za decentralizirano financiranje u Financijskom planu za 2023. godinu ostaje na razini prošle godine. Planirani prihodi za posebne namjene planiraju se temeljem cijene usluge smještaja korisnika.</w:t>
            </w:r>
          </w:p>
          <w:p w:rsidR="0035082C" w:rsidRPr="0035082C" w:rsidRDefault="0035082C" w:rsidP="0035082C">
            <w:pPr>
              <w:spacing w:after="120" w:line="240" w:lineRule="auto"/>
              <w:jc w:val="both"/>
              <w:rPr>
                <w:rFonts w:ascii="Times New Roman" w:eastAsia="Times New Roman" w:hAnsi="Times New Roman" w:cs="Times New Roman"/>
                <w:b/>
                <w:sz w:val="24"/>
                <w:szCs w:val="24"/>
                <w:lang w:eastAsia="hr-HR"/>
              </w:rPr>
            </w:pPr>
            <w:r w:rsidRPr="0035082C">
              <w:rPr>
                <w:rFonts w:ascii="Times New Roman" w:eastAsia="Times New Roman" w:hAnsi="Times New Roman" w:cs="Times New Roman"/>
                <w:color w:val="000000"/>
                <w:sz w:val="24"/>
                <w:szCs w:val="24"/>
                <w:lang w:eastAsia="hr-HR"/>
              </w:rPr>
              <w:t>Pravovremeno sklapanje ugovora o opskrbi radi nabave roba i usluga koji su preduvjet pravovremene opskrbe Doma, kao i pravovremeno plaćanje svih pristiglih obveza po računima radi osiguravanja neometanog poslovanja Doma. Pravovremena isplata plaća i ostalih materijalnih prava radnicima. Osiguranje prihoda za redovito poslovanje Doma.</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77"/>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35082C" w:rsidRDefault="0035082C" w:rsidP="0035082C">
            <w:pPr>
              <w:spacing w:before="120" w:after="12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ZAKONSKA I DRUGA PODLOGA ZA UVOĐENJE PROGRAMA:</w:t>
            </w:r>
          </w:p>
          <w:p w:rsidR="0035082C" w:rsidRPr="0035082C" w:rsidRDefault="0035082C" w:rsidP="0035082C">
            <w:pPr>
              <w:spacing w:before="60" w:after="0" w:line="240" w:lineRule="auto"/>
              <w:jc w:val="both"/>
              <w:rPr>
                <w:rFonts w:ascii="Arial" w:eastAsia="Times New Roman" w:hAnsi="Arial" w:cs="Arial"/>
                <w:sz w:val="18"/>
                <w:szCs w:val="18"/>
                <w:lang w:eastAsia="hr-HR"/>
              </w:rPr>
            </w:pPr>
            <w:r w:rsidRPr="0035082C">
              <w:rPr>
                <w:rFonts w:ascii="Times New Roman" w:eastAsia="Times New Roman" w:hAnsi="Times New Roman" w:cs="Times New Roman"/>
                <w:sz w:val="24"/>
                <w:szCs w:val="24"/>
                <w:lang w:eastAsia="hr-HR"/>
              </w:rPr>
              <w:t>Namjenska sredstva planirana su u Proračunu Županije temeljem Zakona o socijalnoj skrbi, Odluke o minimalnim financijskim standardima, kriterijima i mjerilima za decentralizirano financiranje domova za starije i nemoćne osobe u 2023. godini, Uredbe o načinu financiranja decentraliziranih funkcija te izračuna iznosa pomoći izravnanja za decentralizirane funkcije JLP(R)S za 2023. godinu, kao i drugih zakonskih i podzakonskih akata. Kod izrade Plana korištene su i Upute za izradu proračuna za 2023. te projekcija za 2024. i 2025. Ministarstva financija.</w:t>
            </w: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193"/>
          <w:tblCellSpacing w:w="20" w:type="dxa"/>
          <w:jc w:val="center"/>
        </w:trPr>
        <w:tc>
          <w:tcPr>
            <w:tcW w:w="10119" w:type="dxa"/>
            <w:tcBorders>
              <w:top w:val="dotted" w:sz="4" w:space="0" w:color="auto"/>
              <w:left w:val="single" w:sz="4" w:space="0" w:color="A6A6A6"/>
              <w:bottom w:val="dotted" w:sz="4" w:space="0" w:color="auto"/>
              <w:right w:val="single" w:sz="4" w:space="0" w:color="A6A6A6"/>
            </w:tcBorders>
            <w:shd w:val="clear" w:color="auto" w:fill="auto"/>
          </w:tcPr>
          <w:p w:rsidR="0035082C" w:rsidRPr="0035082C" w:rsidRDefault="0035082C" w:rsidP="0035082C">
            <w:pPr>
              <w:spacing w:before="120" w:after="0" w:line="240" w:lineRule="auto"/>
              <w:jc w:val="both"/>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 xml:space="preserve">PROCJENA I ISHODIŠTE POTREBNIH SREDSTAVA: </w:t>
            </w:r>
          </w:p>
          <w:p w:rsidR="0035082C" w:rsidRPr="0035082C" w:rsidRDefault="0035082C" w:rsidP="0035082C">
            <w:pPr>
              <w:spacing w:before="120" w:after="120" w:line="240" w:lineRule="auto"/>
              <w:jc w:val="both"/>
              <w:rPr>
                <w:rFonts w:ascii="Arial" w:eastAsia="Times New Roman" w:hAnsi="Arial" w:cs="Arial"/>
                <w:sz w:val="18"/>
                <w:szCs w:val="18"/>
                <w:lang w:eastAsia="hr-HR"/>
              </w:rPr>
            </w:pPr>
            <w:r w:rsidRPr="0035082C">
              <w:rPr>
                <w:rFonts w:ascii="Arial" w:eastAsia="Times New Roman" w:hAnsi="Arial" w:cs="Arial"/>
                <w:sz w:val="18"/>
                <w:szCs w:val="18"/>
                <w:lang w:eastAsia="hr-HR"/>
              </w:rPr>
              <w:t>Unutar programa planiraju se slijedeće aktivnosti/projekti:</w:t>
            </w:r>
          </w:p>
          <w:tbl>
            <w:tblPr>
              <w:tblW w:w="962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057"/>
              <w:gridCol w:w="3712"/>
              <w:gridCol w:w="1537"/>
              <w:gridCol w:w="1660"/>
              <w:gridCol w:w="1660"/>
            </w:tblGrid>
            <w:tr w:rsidR="0035082C" w:rsidRPr="0035082C" w:rsidTr="002A7F66">
              <w:trPr>
                <w:trHeight w:val="209"/>
                <w:jc w:val="center"/>
              </w:trPr>
              <w:tc>
                <w:tcPr>
                  <w:tcW w:w="1057" w:type="dxa"/>
                  <w:shd w:val="clear" w:color="auto" w:fill="E6E6E6"/>
                  <w:vAlign w:val="center"/>
                </w:tcPr>
                <w:p w:rsidR="0035082C" w:rsidRPr="0035082C" w:rsidRDefault="0035082C" w:rsidP="0035082C">
                  <w:pPr>
                    <w:spacing w:after="0" w:line="240" w:lineRule="auto"/>
                    <w:jc w:val="center"/>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R.b.</w:t>
                  </w:r>
                </w:p>
              </w:tc>
              <w:tc>
                <w:tcPr>
                  <w:tcW w:w="3712" w:type="dxa"/>
                  <w:shd w:val="clear" w:color="auto" w:fill="E6E6E6"/>
                  <w:vAlign w:val="center"/>
                </w:tcPr>
                <w:p w:rsidR="0035082C" w:rsidRPr="0035082C" w:rsidRDefault="0035082C" w:rsidP="0035082C">
                  <w:pPr>
                    <w:spacing w:after="0" w:line="240" w:lineRule="auto"/>
                    <w:ind w:firstLine="709"/>
                    <w:jc w:val="center"/>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Naziv aktivnosti/projekta</w:t>
                  </w:r>
                </w:p>
              </w:tc>
              <w:tc>
                <w:tcPr>
                  <w:tcW w:w="1537" w:type="dxa"/>
                  <w:shd w:val="clear" w:color="auto" w:fill="E6E6E6"/>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Plan              202</w:t>
                  </w:r>
                  <w:r w:rsidRPr="0035082C">
                    <w:rPr>
                      <w:rFonts w:ascii="Arial" w:eastAsia="Times New Roman" w:hAnsi="Arial" w:cs="Arial"/>
                      <w:b/>
                      <w:bCs/>
                      <w:sz w:val="18"/>
                      <w:szCs w:val="18"/>
                      <w:lang w:eastAsia="x-none"/>
                    </w:rPr>
                    <w:t>3</w:t>
                  </w:r>
                  <w:r w:rsidRPr="0035082C">
                    <w:rPr>
                      <w:rFonts w:ascii="Arial" w:eastAsia="Times New Roman" w:hAnsi="Arial" w:cs="Arial"/>
                      <w:b/>
                      <w:bCs/>
                      <w:sz w:val="18"/>
                      <w:szCs w:val="18"/>
                      <w:lang w:val="x-none" w:eastAsia="x-none"/>
                    </w:rPr>
                    <w:t>.</w:t>
                  </w:r>
                </w:p>
              </w:tc>
              <w:tc>
                <w:tcPr>
                  <w:tcW w:w="1660" w:type="dxa"/>
                  <w:shd w:val="clear" w:color="auto" w:fill="E6E6E6"/>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P</w:t>
                  </w:r>
                  <w:r w:rsidRPr="0035082C">
                    <w:rPr>
                      <w:rFonts w:ascii="Arial" w:eastAsia="Times New Roman" w:hAnsi="Arial" w:cs="Arial"/>
                      <w:b/>
                      <w:bCs/>
                      <w:sz w:val="18"/>
                      <w:szCs w:val="18"/>
                      <w:lang w:eastAsia="x-none"/>
                    </w:rPr>
                    <w:t>rojekcija</w:t>
                  </w:r>
                  <w:r w:rsidRPr="0035082C">
                    <w:rPr>
                      <w:rFonts w:ascii="Arial" w:eastAsia="Times New Roman" w:hAnsi="Arial" w:cs="Arial"/>
                      <w:b/>
                      <w:bCs/>
                      <w:sz w:val="18"/>
                      <w:szCs w:val="18"/>
                      <w:lang w:val="x-none" w:eastAsia="x-none"/>
                    </w:rPr>
                    <w:t xml:space="preserve">       202</w:t>
                  </w:r>
                  <w:r w:rsidRPr="0035082C">
                    <w:rPr>
                      <w:rFonts w:ascii="Arial" w:eastAsia="Times New Roman" w:hAnsi="Arial" w:cs="Arial"/>
                      <w:b/>
                      <w:bCs/>
                      <w:sz w:val="18"/>
                      <w:szCs w:val="18"/>
                      <w:lang w:eastAsia="x-none"/>
                    </w:rPr>
                    <w:t>4</w:t>
                  </w:r>
                  <w:r w:rsidRPr="0035082C">
                    <w:rPr>
                      <w:rFonts w:ascii="Arial" w:eastAsia="Times New Roman" w:hAnsi="Arial" w:cs="Arial"/>
                      <w:b/>
                      <w:bCs/>
                      <w:sz w:val="18"/>
                      <w:szCs w:val="18"/>
                      <w:lang w:val="x-none" w:eastAsia="x-none"/>
                    </w:rPr>
                    <w:t>.</w:t>
                  </w:r>
                </w:p>
              </w:tc>
              <w:tc>
                <w:tcPr>
                  <w:tcW w:w="1660" w:type="dxa"/>
                  <w:shd w:val="clear" w:color="auto" w:fill="E6E6E6"/>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eastAsia="x-none"/>
                    </w:rPr>
                    <w:t>Projekcija</w:t>
                  </w:r>
                </w:p>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202</w:t>
                  </w:r>
                  <w:r w:rsidRPr="0035082C">
                    <w:rPr>
                      <w:rFonts w:ascii="Arial" w:eastAsia="Times New Roman" w:hAnsi="Arial" w:cs="Arial"/>
                      <w:b/>
                      <w:bCs/>
                      <w:sz w:val="18"/>
                      <w:szCs w:val="18"/>
                      <w:lang w:eastAsia="x-none"/>
                    </w:rPr>
                    <w:t>5</w:t>
                  </w:r>
                  <w:r w:rsidRPr="0035082C">
                    <w:rPr>
                      <w:rFonts w:ascii="Arial" w:eastAsia="Times New Roman" w:hAnsi="Arial" w:cs="Arial"/>
                      <w:b/>
                      <w:bCs/>
                      <w:sz w:val="18"/>
                      <w:szCs w:val="18"/>
                      <w:lang w:val="x-none" w:eastAsia="x-none"/>
                    </w:rPr>
                    <w:t>.</w:t>
                  </w:r>
                </w:p>
              </w:tc>
            </w:tr>
            <w:tr w:rsidR="0035082C" w:rsidRPr="0035082C" w:rsidTr="002A7F66">
              <w:trPr>
                <w:trHeight w:val="296"/>
                <w:jc w:val="center"/>
              </w:trPr>
              <w:tc>
                <w:tcPr>
                  <w:tcW w:w="1057"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01.</w:t>
                  </w:r>
                </w:p>
              </w:tc>
              <w:tc>
                <w:tcPr>
                  <w:tcW w:w="3712" w:type="dxa"/>
                  <w:shd w:val="clear" w:color="auto" w:fill="auto"/>
                  <w:vAlign w:val="center"/>
                </w:tcPr>
                <w:p w:rsidR="0035082C" w:rsidRPr="0035082C" w:rsidRDefault="0035082C" w:rsidP="0035082C">
                  <w:pPr>
                    <w:spacing w:after="0" w:line="240" w:lineRule="auto"/>
                    <w:jc w:val="both"/>
                    <w:rPr>
                      <w:rFonts w:ascii="Arial" w:eastAsia="Times New Roman" w:hAnsi="Arial" w:cs="Arial"/>
                      <w:sz w:val="18"/>
                      <w:szCs w:val="18"/>
                      <w:lang w:eastAsia="hr-HR"/>
                    </w:rPr>
                  </w:pPr>
                  <w:r w:rsidRPr="0035082C">
                    <w:rPr>
                      <w:rFonts w:ascii="Arial" w:eastAsia="Times New Roman" w:hAnsi="Arial" w:cs="Arial"/>
                      <w:sz w:val="18"/>
                      <w:szCs w:val="18"/>
                      <w:lang w:eastAsia="hr-HR"/>
                    </w:rPr>
                    <w:t>Stručno i administrativno osoblje</w:t>
                  </w:r>
                </w:p>
              </w:tc>
              <w:tc>
                <w:tcPr>
                  <w:tcW w:w="1537" w:type="dxa"/>
                  <w:vAlign w:val="center"/>
                </w:tcPr>
                <w:p w:rsidR="0035082C" w:rsidRPr="0035082C" w:rsidRDefault="002A7F66"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2.800.764</w:t>
                  </w:r>
                </w:p>
              </w:tc>
              <w:tc>
                <w:tcPr>
                  <w:tcW w:w="1660" w:type="dxa"/>
                  <w:vAlign w:val="center"/>
                </w:tcPr>
                <w:p w:rsidR="0035082C" w:rsidRPr="0035082C" w:rsidRDefault="002A7F66"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2.818.764</w:t>
                  </w:r>
                </w:p>
              </w:tc>
              <w:tc>
                <w:tcPr>
                  <w:tcW w:w="1660" w:type="dxa"/>
                  <w:shd w:val="clear" w:color="auto" w:fill="auto"/>
                  <w:vAlign w:val="center"/>
                </w:tcPr>
                <w:p w:rsidR="0035082C" w:rsidRPr="0035082C" w:rsidRDefault="002A7F66" w:rsidP="0035082C">
                  <w:pPr>
                    <w:spacing w:after="0" w:line="240" w:lineRule="auto"/>
                    <w:jc w:val="right"/>
                    <w:rPr>
                      <w:rFonts w:ascii="Arial" w:eastAsia="Times New Roman" w:hAnsi="Arial" w:cs="Arial"/>
                      <w:sz w:val="18"/>
                      <w:szCs w:val="18"/>
                      <w:lang w:eastAsia="hr-HR"/>
                    </w:rPr>
                  </w:pPr>
                  <w:r>
                    <w:rPr>
                      <w:rFonts w:ascii="Arial" w:eastAsia="Times New Roman" w:hAnsi="Arial" w:cs="Arial"/>
                      <w:sz w:val="18"/>
                      <w:szCs w:val="18"/>
                      <w:lang w:eastAsia="hr-HR"/>
                    </w:rPr>
                    <w:t>2.818.764</w:t>
                  </w:r>
                </w:p>
              </w:tc>
            </w:tr>
            <w:tr w:rsidR="0035082C" w:rsidRPr="0035082C" w:rsidTr="002A7F66">
              <w:trPr>
                <w:trHeight w:val="265"/>
                <w:jc w:val="center"/>
              </w:trPr>
              <w:tc>
                <w:tcPr>
                  <w:tcW w:w="1057"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02.</w:t>
                  </w:r>
                </w:p>
              </w:tc>
              <w:tc>
                <w:tcPr>
                  <w:tcW w:w="3712" w:type="dxa"/>
                  <w:shd w:val="clear" w:color="auto" w:fill="auto"/>
                  <w:vAlign w:val="center"/>
                </w:tcPr>
                <w:p w:rsidR="0035082C" w:rsidRPr="0035082C" w:rsidRDefault="0035082C" w:rsidP="0035082C">
                  <w:pPr>
                    <w:spacing w:after="0" w:line="240" w:lineRule="auto"/>
                    <w:jc w:val="both"/>
                    <w:rPr>
                      <w:rFonts w:ascii="Arial" w:eastAsia="Times New Roman" w:hAnsi="Arial" w:cs="Arial"/>
                      <w:sz w:val="18"/>
                      <w:szCs w:val="18"/>
                      <w:lang w:eastAsia="hr-HR"/>
                    </w:rPr>
                  </w:pPr>
                  <w:r w:rsidRPr="0035082C">
                    <w:rPr>
                      <w:rFonts w:ascii="Arial" w:eastAsia="Times New Roman" w:hAnsi="Arial" w:cs="Arial"/>
                      <w:sz w:val="18"/>
                      <w:szCs w:val="18"/>
                      <w:lang w:eastAsia="hr-HR"/>
                    </w:rPr>
                    <w:t>Otplata kredita za Energetsku obnovu Doma</w:t>
                  </w:r>
                </w:p>
              </w:tc>
              <w:tc>
                <w:tcPr>
                  <w:tcW w:w="1537" w:type="dxa"/>
                  <w:vAlign w:val="center"/>
                </w:tcPr>
                <w:p w:rsidR="0035082C" w:rsidRPr="0035082C" w:rsidRDefault="0035082C" w:rsidP="0035082C">
                  <w:pPr>
                    <w:spacing w:after="0" w:line="240" w:lineRule="auto"/>
                    <w:jc w:val="right"/>
                    <w:rPr>
                      <w:rFonts w:ascii="Arial" w:eastAsia="Times New Roman" w:hAnsi="Arial" w:cs="Arial"/>
                      <w:sz w:val="18"/>
                      <w:szCs w:val="18"/>
                      <w:lang w:eastAsia="hr-HR"/>
                    </w:rPr>
                  </w:pPr>
                  <w:r w:rsidRPr="0035082C">
                    <w:rPr>
                      <w:rFonts w:ascii="Arial" w:eastAsia="Times New Roman" w:hAnsi="Arial" w:cs="Arial"/>
                      <w:sz w:val="18"/>
                      <w:szCs w:val="18"/>
                      <w:lang w:eastAsia="hr-HR"/>
                    </w:rPr>
                    <w:t>145.995</w:t>
                  </w:r>
                </w:p>
              </w:tc>
              <w:tc>
                <w:tcPr>
                  <w:tcW w:w="1660" w:type="dxa"/>
                  <w:vAlign w:val="center"/>
                </w:tcPr>
                <w:p w:rsidR="0035082C" w:rsidRPr="0035082C" w:rsidRDefault="0035082C" w:rsidP="0035082C">
                  <w:pPr>
                    <w:spacing w:after="0" w:line="240" w:lineRule="auto"/>
                    <w:ind w:firstLine="709"/>
                    <w:jc w:val="right"/>
                    <w:rPr>
                      <w:rFonts w:ascii="Arial" w:eastAsia="Times New Roman" w:hAnsi="Arial" w:cs="Arial"/>
                      <w:sz w:val="18"/>
                      <w:szCs w:val="18"/>
                      <w:lang w:eastAsia="hr-HR"/>
                    </w:rPr>
                  </w:pPr>
                  <w:r w:rsidRPr="0035082C">
                    <w:rPr>
                      <w:rFonts w:ascii="Arial" w:eastAsia="Times New Roman" w:hAnsi="Arial" w:cs="Arial"/>
                      <w:sz w:val="18"/>
                      <w:szCs w:val="18"/>
                      <w:lang w:eastAsia="hr-HR"/>
                    </w:rPr>
                    <w:t>145.995</w:t>
                  </w:r>
                </w:p>
              </w:tc>
              <w:tc>
                <w:tcPr>
                  <w:tcW w:w="1660" w:type="dxa"/>
                  <w:shd w:val="clear" w:color="auto" w:fill="auto"/>
                  <w:vAlign w:val="center"/>
                </w:tcPr>
                <w:p w:rsidR="0035082C" w:rsidRPr="0035082C" w:rsidRDefault="0035082C" w:rsidP="0035082C">
                  <w:pPr>
                    <w:spacing w:after="0" w:line="240" w:lineRule="auto"/>
                    <w:ind w:firstLine="709"/>
                    <w:jc w:val="right"/>
                    <w:rPr>
                      <w:rFonts w:ascii="Arial" w:eastAsia="Times New Roman" w:hAnsi="Arial" w:cs="Arial"/>
                      <w:sz w:val="18"/>
                      <w:szCs w:val="18"/>
                      <w:lang w:eastAsia="hr-HR"/>
                    </w:rPr>
                  </w:pPr>
                  <w:r w:rsidRPr="0035082C">
                    <w:rPr>
                      <w:rFonts w:ascii="Arial" w:eastAsia="Times New Roman" w:hAnsi="Arial" w:cs="Arial"/>
                      <w:sz w:val="18"/>
                      <w:szCs w:val="18"/>
                      <w:lang w:eastAsia="hr-HR"/>
                    </w:rPr>
                    <w:t>145.995</w:t>
                  </w:r>
                </w:p>
              </w:tc>
            </w:tr>
            <w:tr w:rsidR="0035082C" w:rsidRPr="0035082C" w:rsidTr="002A7F66">
              <w:trPr>
                <w:trHeight w:val="265"/>
                <w:jc w:val="center"/>
              </w:trPr>
              <w:tc>
                <w:tcPr>
                  <w:tcW w:w="1057"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03.</w:t>
                  </w:r>
                </w:p>
              </w:tc>
              <w:tc>
                <w:tcPr>
                  <w:tcW w:w="3712" w:type="dxa"/>
                  <w:shd w:val="clear" w:color="auto" w:fill="auto"/>
                  <w:vAlign w:val="center"/>
                </w:tcPr>
                <w:p w:rsidR="0035082C" w:rsidRPr="0035082C" w:rsidRDefault="0035082C" w:rsidP="0035082C">
                  <w:pPr>
                    <w:spacing w:after="0" w:line="240" w:lineRule="auto"/>
                    <w:jc w:val="both"/>
                    <w:rPr>
                      <w:rFonts w:ascii="Arial" w:eastAsia="Times New Roman" w:hAnsi="Arial" w:cs="Arial"/>
                      <w:sz w:val="18"/>
                      <w:szCs w:val="18"/>
                      <w:lang w:eastAsia="hr-HR"/>
                    </w:rPr>
                  </w:pPr>
                  <w:r w:rsidRPr="0035082C">
                    <w:rPr>
                      <w:rFonts w:ascii="Arial" w:eastAsia="Times New Roman" w:hAnsi="Arial" w:cs="Arial"/>
                      <w:sz w:val="18"/>
                      <w:szCs w:val="18"/>
                      <w:lang w:eastAsia="hr-HR"/>
                    </w:rPr>
                    <w:t>Održavanje objekata</w:t>
                  </w:r>
                </w:p>
              </w:tc>
              <w:tc>
                <w:tcPr>
                  <w:tcW w:w="1537" w:type="dxa"/>
                  <w:vAlign w:val="center"/>
                </w:tcPr>
                <w:p w:rsidR="0035082C" w:rsidRPr="0035082C" w:rsidRDefault="0035082C" w:rsidP="0035082C">
                  <w:pPr>
                    <w:spacing w:after="0" w:line="240" w:lineRule="auto"/>
                    <w:jc w:val="right"/>
                    <w:rPr>
                      <w:rFonts w:ascii="Arial" w:eastAsia="Times New Roman" w:hAnsi="Arial" w:cs="Arial"/>
                      <w:sz w:val="18"/>
                      <w:szCs w:val="18"/>
                      <w:lang w:eastAsia="hr-HR"/>
                    </w:rPr>
                  </w:pPr>
                  <w:r w:rsidRPr="0035082C">
                    <w:rPr>
                      <w:rFonts w:ascii="Arial" w:eastAsia="Times New Roman" w:hAnsi="Arial" w:cs="Arial"/>
                      <w:sz w:val="18"/>
                      <w:szCs w:val="18"/>
                      <w:lang w:eastAsia="hr-HR"/>
                    </w:rPr>
                    <w:t>139.361</w:t>
                  </w:r>
                </w:p>
              </w:tc>
              <w:tc>
                <w:tcPr>
                  <w:tcW w:w="1660" w:type="dxa"/>
                  <w:vAlign w:val="center"/>
                </w:tcPr>
                <w:p w:rsidR="0035082C" w:rsidRPr="0035082C" w:rsidRDefault="0035082C" w:rsidP="0035082C">
                  <w:pPr>
                    <w:spacing w:after="0" w:line="240" w:lineRule="auto"/>
                    <w:ind w:firstLine="709"/>
                    <w:jc w:val="right"/>
                    <w:rPr>
                      <w:rFonts w:ascii="Arial" w:eastAsia="Times New Roman" w:hAnsi="Arial" w:cs="Arial"/>
                      <w:sz w:val="18"/>
                      <w:szCs w:val="18"/>
                      <w:lang w:eastAsia="hr-HR"/>
                    </w:rPr>
                  </w:pPr>
                  <w:r w:rsidRPr="0035082C">
                    <w:rPr>
                      <w:rFonts w:ascii="Arial" w:eastAsia="Times New Roman" w:hAnsi="Arial" w:cs="Arial"/>
                      <w:sz w:val="18"/>
                      <w:szCs w:val="18"/>
                      <w:lang w:eastAsia="hr-HR"/>
                    </w:rPr>
                    <w:t>139.361</w:t>
                  </w:r>
                </w:p>
              </w:tc>
              <w:tc>
                <w:tcPr>
                  <w:tcW w:w="1660" w:type="dxa"/>
                  <w:shd w:val="clear" w:color="auto" w:fill="auto"/>
                  <w:vAlign w:val="center"/>
                </w:tcPr>
                <w:p w:rsidR="0035082C" w:rsidRPr="0035082C" w:rsidRDefault="0035082C" w:rsidP="0035082C">
                  <w:pPr>
                    <w:spacing w:after="0" w:line="240" w:lineRule="auto"/>
                    <w:ind w:firstLine="709"/>
                    <w:jc w:val="right"/>
                    <w:rPr>
                      <w:rFonts w:ascii="Arial" w:eastAsia="Times New Roman" w:hAnsi="Arial" w:cs="Arial"/>
                      <w:sz w:val="18"/>
                      <w:szCs w:val="18"/>
                      <w:lang w:eastAsia="hr-HR"/>
                    </w:rPr>
                  </w:pPr>
                  <w:r w:rsidRPr="0035082C">
                    <w:rPr>
                      <w:rFonts w:ascii="Arial" w:eastAsia="Times New Roman" w:hAnsi="Arial" w:cs="Arial"/>
                      <w:sz w:val="18"/>
                      <w:szCs w:val="18"/>
                      <w:lang w:eastAsia="hr-HR"/>
                    </w:rPr>
                    <w:t>139.361</w:t>
                  </w:r>
                </w:p>
              </w:tc>
            </w:tr>
            <w:tr w:rsidR="0035082C" w:rsidRPr="0035082C" w:rsidTr="002A7F66">
              <w:trPr>
                <w:trHeight w:val="351"/>
                <w:jc w:val="center"/>
              </w:trPr>
              <w:tc>
                <w:tcPr>
                  <w:tcW w:w="1057" w:type="dxa"/>
                  <w:shd w:val="clear" w:color="auto" w:fill="E6E6E6"/>
                  <w:vAlign w:val="center"/>
                </w:tcPr>
                <w:p w:rsidR="0035082C" w:rsidRPr="0035082C" w:rsidRDefault="0035082C" w:rsidP="0035082C">
                  <w:pPr>
                    <w:spacing w:after="0" w:line="240" w:lineRule="auto"/>
                    <w:ind w:firstLine="709"/>
                    <w:jc w:val="center"/>
                    <w:rPr>
                      <w:rFonts w:ascii="Arial" w:eastAsia="Times New Roman" w:hAnsi="Arial" w:cs="Arial"/>
                      <w:b/>
                      <w:bCs/>
                      <w:sz w:val="18"/>
                      <w:szCs w:val="18"/>
                      <w:lang w:eastAsia="hr-HR"/>
                    </w:rPr>
                  </w:pPr>
                </w:p>
              </w:tc>
              <w:tc>
                <w:tcPr>
                  <w:tcW w:w="3712" w:type="dxa"/>
                  <w:shd w:val="clear" w:color="auto" w:fill="E6E6E6"/>
                  <w:vAlign w:val="center"/>
                </w:tcPr>
                <w:p w:rsidR="0035082C" w:rsidRPr="0035082C" w:rsidRDefault="0035082C" w:rsidP="0035082C">
                  <w:pPr>
                    <w:spacing w:after="0" w:line="240" w:lineRule="auto"/>
                    <w:ind w:firstLine="709"/>
                    <w:jc w:val="center"/>
                    <w:rPr>
                      <w:rFonts w:ascii="Arial" w:eastAsia="Times New Roman" w:hAnsi="Arial" w:cs="Arial"/>
                      <w:b/>
                      <w:bCs/>
                      <w:sz w:val="18"/>
                      <w:szCs w:val="18"/>
                      <w:lang w:eastAsia="hr-HR"/>
                    </w:rPr>
                  </w:pPr>
                  <w:r w:rsidRPr="0035082C">
                    <w:rPr>
                      <w:rFonts w:ascii="Arial" w:eastAsia="Times New Roman" w:hAnsi="Arial" w:cs="Arial"/>
                      <w:b/>
                      <w:bCs/>
                      <w:sz w:val="18"/>
                      <w:szCs w:val="18"/>
                      <w:lang w:eastAsia="hr-HR"/>
                    </w:rPr>
                    <w:t>Ukupno program:</w:t>
                  </w:r>
                </w:p>
              </w:tc>
              <w:tc>
                <w:tcPr>
                  <w:tcW w:w="1537" w:type="dxa"/>
                  <w:shd w:val="clear" w:color="auto" w:fill="E6E6E6"/>
                  <w:vAlign w:val="center"/>
                </w:tcPr>
                <w:p w:rsidR="0035082C" w:rsidRPr="0035082C" w:rsidRDefault="002A7F66"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3.086.120</w:t>
                  </w:r>
                </w:p>
              </w:tc>
              <w:tc>
                <w:tcPr>
                  <w:tcW w:w="1660" w:type="dxa"/>
                  <w:shd w:val="clear" w:color="auto" w:fill="E6E6E6"/>
                  <w:vAlign w:val="center"/>
                </w:tcPr>
                <w:p w:rsidR="0035082C" w:rsidRPr="0035082C" w:rsidRDefault="002A7F66"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3.104.120</w:t>
                  </w:r>
                </w:p>
              </w:tc>
              <w:tc>
                <w:tcPr>
                  <w:tcW w:w="1660" w:type="dxa"/>
                  <w:shd w:val="clear" w:color="auto" w:fill="E6E6E6"/>
                  <w:vAlign w:val="center"/>
                </w:tcPr>
                <w:p w:rsidR="0035082C" w:rsidRPr="0035082C" w:rsidRDefault="002A7F66" w:rsidP="0035082C">
                  <w:pPr>
                    <w:spacing w:after="0" w:line="240" w:lineRule="auto"/>
                    <w:jc w:val="right"/>
                    <w:rPr>
                      <w:rFonts w:ascii="Arial" w:eastAsia="Times New Roman" w:hAnsi="Arial" w:cs="Arial"/>
                      <w:b/>
                      <w:bCs/>
                      <w:sz w:val="18"/>
                      <w:szCs w:val="18"/>
                      <w:lang w:eastAsia="hr-HR"/>
                    </w:rPr>
                  </w:pPr>
                  <w:r>
                    <w:rPr>
                      <w:rFonts w:ascii="Arial" w:eastAsia="Times New Roman" w:hAnsi="Arial" w:cs="Arial"/>
                      <w:b/>
                      <w:bCs/>
                      <w:sz w:val="18"/>
                      <w:szCs w:val="18"/>
                      <w:lang w:eastAsia="hr-HR"/>
                    </w:rPr>
                    <w:t>3.104.120</w:t>
                  </w:r>
                </w:p>
              </w:tc>
            </w:tr>
          </w:tbl>
          <w:p w:rsidR="0035082C" w:rsidRPr="0035082C" w:rsidRDefault="0035082C" w:rsidP="0035082C">
            <w:pPr>
              <w:spacing w:after="0" w:line="240" w:lineRule="auto"/>
              <w:ind w:firstLine="709"/>
              <w:jc w:val="both"/>
              <w:rPr>
                <w:rFonts w:ascii="Arial" w:eastAsia="Times New Roman" w:hAnsi="Arial" w:cs="Arial"/>
                <w:sz w:val="18"/>
                <w:szCs w:val="18"/>
                <w:lang w:eastAsia="hr-HR"/>
              </w:rPr>
            </w:pPr>
          </w:p>
          <w:p w:rsidR="0035082C" w:rsidRPr="0035082C" w:rsidRDefault="0035082C" w:rsidP="0035082C">
            <w:pPr>
              <w:spacing w:after="120" w:line="240" w:lineRule="auto"/>
              <w:jc w:val="both"/>
              <w:rPr>
                <w:rFonts w:ascii="Arial" w:eastAsia="Times New Roman" w:hAnsi="Arial" w:cs="Arial"/>
                <w:b/>
                <w:i/>
                <w:sz w:val="18"/>
                <w:szCs w:val="18"/>
                <w:lang w:eastAsia="hr-HR"/>
              </w:rPr>
            </w:pPr>
            <w:r w:rsidRPr="0035082C">
              <w:rPr>
                <w:rFonts w:ascii="Arial" w:eastAsia="Times New Roman" w:hAnsi="Arial" w:cs="Arial"/>
                <w:b/>
                <w:i/>
                <w:sz w:val="18"/>
                <w:szCs w:val="18"/>
                <w:lang w:eastAsia="hr-HR"/>
              </w:rPr>
              <w:t>Stručno i administrativno osoblje</w:t>
            </w:r>
          </w:p>
          <w:p w:rsidR="0035082C" w:rsidRPr="0035082C" w:rsidRDefault="0035082C" w:rsidP="0035082C">
            <w:pPr>
              <w:spacing w:after="120" w:line="240" w:lineRule="auto"/>
              <w:jc w:val="both"/>
              <w:rPr>
                <w:rFonts w:ascii="Times New Roman" w:eastAsia="Times New Roman" w:hAnsi="Times New Roman" w:cs="Times New Roman"/>
                <w:bCs/>
                <w:color w:val="000000"/>
                <w:sz w:val="24"/>
                <w:szCs w:val="24"/>
                <w:lang w:eastAsia="hr-HR"/>
              </w:rPr>
            </w:pPr>
            <w:r w:rsidRPr="0035082C">
              <w:rPr>
                <w:rFonts w:ascii="Times New Roman" w:eastAsia="Times New Roman" w:hAnsi="Times New Roman" w:cs="Times New Roman"/>
                <w:bCs/>
                <w:color w:val="000000"/>
                <w:sz w:val="24"/>
                <w:szCs w:val="24"/>
                <w:lang w:eastAsia="hr-HR"/>
              </w:rPr>
              <w:t>Unutar navedene aktivnosti sadržane su plaće (bruto) za zaposlene, ostali rashodi za zaposlene i doprinosi na plaće. Isto tako, ovdje se nalaze svi materijalni rashodi, financijski rashodi te ostale naknade građanima i kućanstvima iz proračuna.</w:t>
            </w:r>
          </w:p>
          <w:p w:rsidR="0035082C" w:rsidRPr="0035082C" w:rsidRDefault="0035082C" w:rsidP="0035082C">
            <w:pPr>
              <w:spacing w:after="12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bCs/>
                <w:color w:val="000000"/>
                <w:sz w:val="24"/>
                <w:szCs w:val="24"/>
                <w:lang w:eastAsia="hr-HR"/>
              </w:rPr>
              <w:t>Plaće (bruto) za zaposlene, ostali rashodi za zaposlene i doprinosi na plaće financirani su iz više izvora financiranja.</w:t>
            </w:r>
            <w:r w:rsidRPr="0035082C">
              <w:rPr>
                <w:rFonts w:ascii="Arial" w:eastAsia="Times New Roman" w:hAnsi="Arial" w:cs="Arial"/>
                <w:bCs/>
                <w:color w:val="000000"/>
                <w:sz w:val="24"/>
                <w:szCs w:val="24"/>
                <w:lang w:eastAsia="hr-HR"/>
              </w:rPr>
              <w:t xml:space="preserve"> </w:t>
            </w:r>
            <w:r w:rsidRPr="0035082C">
              <w:rPr>
                <w:rFonts w:ascii="Times New Roman" w:eastAsia="Times New Roman" w:hAnsi="Times New Roman" w:cs="Times New Roman"/>
                <w:bCs/>
                <w:sz w:val="24"/>
                <w:szCs w:val="24"/>
                <w:lang w:eastAsia="hr-HR"/>
              </w:rPr>
              <w:t>Tako se iz izvora 11 (opći prihodi i primici – županijski proračun) dijelom financiraju plaće (bruto) za Dnevni centar u iznosu od 11.680,00 EUR te doprinosi na plaće u iznosu od 1.592,00 EUR.</w:t>
            </w:r>
            <w:r w:rsidRPr="0035082C">
              <w:rPr>
                <w:rFonts w:ascii="Arial" w:eastAsia="Times New Roman" w:hAnsi="Arial" w:cs="Arial"/>
                <w:bCs/>
                <w:sz w:val="24"/>
                <w:szCs w:val="24"/>
                <w:lang w:eastAsia="hr-HR"/>
              </w:rPr>
              <w:t xml:space="preserve"> </w:t>
            </w:r>
            <w:r w:rsidRPr="0035082C">
              <w:rPr>
                <w:rFonts w:ascii="Times New Roman" w:eastAsia="Times New Roman" w:hAnsi="Times New Roman" w:cs="Times New Roman"/>
                <w:bCs/>
                <w:sz w:val="24"/>
                <w:szCs w:val="24"/>
                <w:lang w:eastAsia="hr-HR"/>
              </w:rPr>
              <w:t>U 2023. godini iz izvora 11 predviđeno je i financiranje dijela plaća zaposlenika jer je Dom temeljem Rješenja inspekcije resornog Ministarstva dužan zaposliti još devet oso</w:t>
            </w:r>
            <w:r w:rsidR="00D85291">
              <w:rPr>
                <w:rFonts w:ascii="Times New Roman" w:eastAsia="Times New Roman" w:hAnsi="Times New Roman" w:cs="Times New Roman"/>
                <w:bCs/>
                <w:sz w:val="24"/>
                <w:szCs w:val="24"/>
                <w:lang w:eastAsia="hr-HR"/>
              </w:rPr>
              <w:t>ba. Za navedeno je planirano 66.361,00 EUR (55.000,00 EUR za plaće (bruto) i 11.361</w:t>
            </w:r>
            <w:r w:rsidRPr="0035082C">
              <w:rPr>
                <w:rFonts w:ascii="Times New Roman" w:eastAsia="Times New Roman" w:hAnsi="Times New Roman" w:cs="Times New Roman"/>
                <w:bCs/>
                <w:sz w:val="24"/>
                <w:szCs w:val="24"/>
                <w:lang w:eastAsia="hr-HR"/>
              </w:rPr>
              <w:t>,00 EUR za doprinose na plaće).</w:t>
            </w:r>
            <w:r w:rsidRPr="0035082C">
              <w:rPr>
                <w:rFonts w:ascii="Arial" w:eastAsia="Times New Roman" w:hAnsi="Arial" w:cs="Arial"/>
                <w:bCs/>
                <w:color w:val="FF0000"/>
                <w:sz w:val="24"/>
                <w:szCs w:val="24"/>
                <w:lang w:eastAsia="hr-HR"/>
              </w:rPr>
              <w:t xml:space="preserve"> </w:t>
            </w:r>
            <w:r w:rsidRPr="0035082C">
              <w:rPr>
                <w:rFonts w:ascii="Times New Roman" w:eastAsia="Times New Roman" w:hAnsi="Times New Roman" w:cs="Times New Roman"/>
                <w:sz w:val="24"/>
                <w:szCs w:val="24"/>
                <w:lang w:eastAsia="hr-HR"/>
              </w:rPr>
              <w:t>Iz izvora 43 (ostali prihodi za posebne namjene) financiraju se plaće (bruto) u iznosu od 739.189,00 EUR, ostali rashodi za zaposlene u iznosu od 81.228,00 EUR i doprinosi na plaće u iznosu od 125.319,00 EUR. Iz izvora 44 (decentralizirana sredstva) dijelom se financiraju plaće (bruto) u iznosu od 477.800,00 EUR i doprinosi na plaće u iznosu od 74.426,00 EUR.</w:t>
            </w:r>
          </w:p>
          <w:p w:rsidR="0035082C" w:rsidRPr="0035082C" w:rsidRDefault="0035082C" w:rsidP="0035082C">
            <w:pPr>
              <w:spacing w:after="120" w:line="240" w:lineRule="auto"/>
              <w:jc w:val="both"/>
              <w:rPr>
                <w:rFonts w:ascii="Times New Roman" w:eastAsia="Times New Roman" w:hAnsi="Times New Roman" w:cs="Times New Roman"/>
                <w:bCs/>
                <w:sz w:val="24"/>
                <w:szCs w:val="24"/>
                <w:lang w:eastAsia="hr-HR"/>
              </w:rPr>
            </w:pPr>
            <w:r w:rsidRPr="0035082C">
              <w:rPr>
                <w:rFonts w:ascii="Times New Roman" w:eastAsia="Times New Roman" w:hAnsi="Times New Roman" w:cs="Times New Roman"/>
                <w:bCs/>
                <w:sz w:val="24"/>
                <w:szCs w:val="24"/>
                <w:lang w:eastAsia="hr-HR"/>
              </w:rPr>
              <w:t>Svi materijalni rashodi, financijski rashodi te ostale naknade građanima i kućanstvima iz proračuna financiraju se iz izvora 43. U Planu se nalazi i izvor financiranja 52 (ostale pomoći), a odnosi se na proračun koji nije nadležan, odnosno na Grad Varaždin kojim se sufinancira rad Dnevnog centra u iznosu od 3.981,00 EUR i pomoći resornog Ministarstva dobivene za sufinanciranje dijela troškova energenata (plin) koja će se nastaviti i u 2023. godini, a preostali planirani iznos je 2.124,00 EUR.</w:t>
            </w:r>
          </w:p>
          <w:p w:rsidR="0035082C" w:rsidRPr="0035082C" w:rsidRDefault="0035082C" w:rsidP="0035082C">
            <w:pPr>
              <w:spacing w:after="120" w:line="240" w:lineRule="auto"/>
              <w:jc w:val="both"/>
              <w:rPr>
                <w:rFonts w:ascii="Arial" w:eastAsia="Times New Roman" w:hAnsi="Arial" w:cs="Arial"/>
                <w:b/>
                <w:i/>
                <w:sz w:val="18"/>
                <w:szCs w:val="18"/>
                <w:lang w:eastAsia="hr-HR"/>
              </w:rPr>
            </w:pPr>
            <w:r w:rsidRPr="0035082C">
              <w:rPr>
                <w:rFonts w:ascii="Arial" w:eastAsia="Times New Roman" w:hAnsi="Arial" w:cs="Arial"/>
                <w:b/>
                <w:i/>
                <w:sz w:val="18"/>
                <w:szCs w:val="18"/>
                <w:lang w:eastAsia="hr-HR"/>
              </w:rPr>
              <w:t>Otplata kredita za Energetsku obnovu Doma</w:t>
            </w:r>
          </w:p>
          <w:p w:rsidR="0035082C" w:rsidRPr="0035082C" w:rsidRDefault="0035082C" w:rsidP="0035082C">
            <w:pPr>
              <w:spacing w:after="0" w:line="240" w:lineRule="auto"/>
              <w:jc w:val="both"/>
              <w:rPr>
                <w:rFonts w:ascii="Times New Roman" w:eastAsia="Times New Roman" w:hAnsi="Times New Roman" w:cs="Times New Roman"/>
                <w:sz w:val="24"/>
                <w:szCs w:val="24"/>
                <w:lang w:eastAsia="hr-HR"/>
              </w:rPr>
            </w:pPr>
            <w:r w:rsidRPr="0035082C">
              <w:rPr>
                <w:rFonts w:ascii="Times New Roman" w:eastAsia="Times New Roman" w:hAnsi="Times New Roman" w:cs="Times New Roman"/>
                <w:sz w:val="24"/>
                <w:szCs w:val="24"/>
                <w:lang w:eastAsia="hr-HR"/>
              </w:rPr>
              <w:t>Kako bi Dom osigurao vlastitu komponentu financiranja prema Ugovoru o dodjeli bespovratnih sredstava za projekt energetske obnove, ustanova se kreditno zadužila pri HBOR-u, a kako bi se financirali izvantroškovnički radovi ustanova se kreditno zadužila kod Zagrebačke banke.</w:t>
            </w:r>
          </w:p>
          <w:p w:rsidR="0035082C" w:rsidRPr="0035082C" w:rsidRDefault="0035082C" w:rsidP="0035082C">
            <w:pPr>
              <w:spacing w:after="0" w:line="240" w:lineRule="auto"/>
              <w:ind w:firstLine="709"/>
              <w:jc w:val="both"/>
              <w:rPr>
                <w:rFonts w:ascii="Times New Roman" w:eastAsia="Times New Roman" w:hAnsi="Times New Roman" w:cs="Times New Roman"/>
                <w:sz w:val="24"/>
                <w:szCs w:val="24"/>
                <w:lang w:eastAsia="hr-HR"/>
              </w:rPr>
            </w:pPr>
          </w:p>
          <w:p w:rsidR="0035082C" w:rsidRPr="0035082C" w:rsidRDefault="0035082C" w:rsidP="0035082C">
            <w:pPr>
              <w:spacing w:after="120" w:line="240" w:lineRule="auto"/>
              <w:jc w:val="both"/>
              <w:rPr>
                <w:rFonts w:ascii="Times New Roman" w:eastAsia="Times New Roman" w:hAnsi="Times New Roman" w:cs="Times New Roman"/>
                <w:bCs/>
                <w:color w:val="000000"/>
                <w:sz w:val="24"/>
                <w:szCs w:val="24"/>
                <w:lang w:eastAsia="hr-HR"/>
              </w:rPr>
            </w:pPr>
            <w:r w:rsidRPr="0035082C">
              <w:rPr>
                <w:rFonts w:ascii="Times New Roman" w:eastAsia="Times New Roman" w:hAnsi="Times New Roman" w:cs="Times New Roman"/>
                <w:bCs/>
                <w:color w:val="000000"/>
                <w:sz w:val="24"/>
                <w:szCs w:val="24"/>
                <w:lang w:eastAsia="hr-HR"/>
              </w:rPr>
              <w:t>Unutar ove aktivnosti sadržani su izdaci za otplatu glavnica za primljene kredite od HBOR-a u iznosu od 117.495,00 EUR i od Zagrebačke banke u iznosu od 28.500,00 EUR, a sve prema dobivenom otplatnom planu.</w:t>
            </w:r>
          </w:p>
          <w:p w:rsidR="0035082C" w:rsidRPr="0035082C" w:rsidRDefault="0035082C" w:rsidP="0035082C">
            <w:pPr>
              <w:spacing w:after="120" w:line="240" w:lineRule="auto"/>
              <w:jc w:val="both"/>
              <w:rPr>
                <w:rFonts w:ascii="Arial" w:eastAsia="Times New Roman" w:hAnsi="Arial" w:cs="Arial"/>
                <w:b/>
                <w:i/>
                <w:sz w:val="18"/>
                <w:szCs w:val="18"/>
                <w:lang w:eastAsia="hr-HR"/>
              </w:rPr>
            </w:pPr>
            <w:r w:rsidRPr="0035082C">
              <w:rPr>
                <w:rFonts w:ascii="Arial" w:eastAsia="Times New Roman" w:hAnsi="Arial" w:cs="Arial"/>
                <w:b/>
                <w:i/>
                <w:sz w:val="18"/>
                <w:szCs w:val="18"/>
                <w:lang w:eastAsia="hr-HR"/>
              </w:rPr>
              <w:t>Održavanje objekata</w:t>
            </w:r>
          </w:p>
          <w:p w:rsidR="0035082C" w:rsidRPr="0035082C" w:rsidRDefault="0035082C" w:rsidP="0035082C">
            <w:pPr>
              <w:spacing w:after="0" w:line="240" w:lineRule="auto"/>
              <w:jc w:val="both"/>
              <w:rPr>
                <w:rFonts w:ascii="Times New Roman" w:eastAsia="Times New Roman" w:hAnsi="Times New Roman" w:cs="Times New Roman"/>
                <w:bCs/>
                <w:color w:val="000000"/>
                <w:sz w:val="24"/>
                <w:szCs w:val="24"/>
                <w:lang w:eastAsia="hr-HR"/>
              </w:rPr>
            </w:pPr>
            <w:r w:rsidRPr="0035082C">
              <w:rPr>
                <w:rFonts w:ascii="Times New Roman" w:eastAsia="Times New Roman" w:hAnsi="Times New Roman" w:cs="Times New Roman"/>
                <w:bCs/>
                <w:color w:val="000000"/>
                <w:sz w:val="24"/>
                <w:szCs w:val="24"/>
                <w:lang w:eastAsia="hr-HR"/>
              </w:rPr>
              <w:t>Navedena aktivnost sadrži rashode za usluge gdje je planirana usluga ugradnje vatrodojavnog sustava u iznosu od 106.178,00 EUR te rashode za usluge planirane kod hitnih intervencija u iznosu od 15.929,00 EUR. Kod rashoda za nabavu nefinancijske imovine planirana je kupnja postrojenja i opreme u iznosu od 17.254,00 EUR.</w:t>
            </w:r>
          </w:p>
          <w:p w:rsidR="0035082C" w:rsidRPr="0035082C" w:rsidRDefault="0035082C" w:rsidP="0035082C">
            <w:pPr>
              <w:spacing w:after="60" w:line="240" w:lineRule="auto"/>
              <w:jc w:val="both"/>
              <w:rPr>
                <w:rFonts w:ascii="Arial" w:eastAsia="Times New Roman" w:hAnsi="Arial" w:cs="Arial"/>
                <w:b/>
                <w:i/>
                <w:sz w:val="18"/>
                <w:szCs w:val="18"/>
                <w:highlight w:val="yellow"/>
                <w:lang w:eastAsia="hr-HR"/>
              </w:rPr>
            </w:pPr>
          </w:p>
        </w:tc>
      </w:tr>
      <w:tr w:rsidR="0035082C" w:rsidRPr="0035082C" w:rsidTr="00A11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2" w:type="dxa"/>
          <w:trHeight w:val="3022"/>
          <w:tblCellSpacing w:w="20" w:type="dxa"/>
          <w:jc w:val="center"/>
        </w:trPr>
        <w:tc>
          <w:tcPr>
            <w:tcW w:w="10119" w:type="dxa"/>
            <w:tcBorders>
              <w:top w:val="dotted" w:sz="4" w:space="0" w:color="auto"/>
              <w:left w:val="single" w:sz="4" w:space="0" w:color="A6A6A6"/>
              <w:bottom w:val="single" w:sz="4" w:space="0" w:color="A6A6A6"/>
              <w:right w:val="single" w:sz="4" w:space="0" w:color="A6A6A6"/>
            </w:tcBorders>
            <w:shd w:val="clear" w:color="auto" w:fill="auto"/>
          </w:tcPr>
          <w:p w:rsidR="0035082C" w:rsidRPr="0035082C" w:rsidRDefault="0035082C" w:rsidP="0035082C">
            <w:pPr>
              <w:spacing w:before="120" w:after="120" w:line="240" w:lineRule="auto"/>
              <w:jc w:val="both"/>
              <w:rPr>
                <w:rFonts w:ascii="Arial" w:eastAsia="Times New Roman" w:hAnsi="Arial" w:cs="Arial"/>
                <w:b/>
                <w:sz w:val="18"/>
                <w:szCs w:val="18"/>
                <w:lang w:eastAsia="hr-HR"/>
              </w:rPr>
            </w:pPr>
            <w:r w:rsidRPr="0035082C">
              <w:rPr>
                <w:rFonts w:ascii="Arial" w:eastAsia="Times New Roman" w:hAnsi="Arial" w:cs="Arial"/>
                <w:b/>
                <w:sz w:val="18"/>
                <w:szCs w:val="18"/>
                <w:lang w:eastAsia="hr-HR"/>
              </w:rPr>
              <w:t xml:space="preserve">CILJEVI I POKAZATELJI USPJEŠNOSTI KOJIMA ĆE SE MJERITI OSTVARENJE CILJEVA: </w:t>
            </w:r>
          </w:p>
          <w:tbl>
            <w:tblPr>
              <w:tblW w:w="103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487"/>
              <w:gridCol w:w="1487"/>
              <w:gridCol w:w="1077"/>
              <w:gridCol w:w="1418"/>
              <w:gridCol w:w="1017"/>
              <w:gridCol w:w="1286"/>
              <w:gridCol w:w="1286"/>
              <w:gridCol w:w="1286"/>
            </w:tblGrid>
            <w:tr w:rsidR="0035082C" w:rsidRPr="0035082C" w:rsidTr="0035082C">
              <w:tc>
                <w:tcPr>
                  <w:tcW w:w="148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Pokazatelj</w:t>
                  </w:r>
                </w:p>
              </w:tc>
              <w:tc>
                <w:tcPr>
                  <w:tcW w:w="148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Definicija</w:t>
                  </w:r>
                </w:p>
              </w:tc>
              <w:tc>
                <w:tcPr>
                  <w:tcW w:w="1075" w:type="dxa"/>
                  <w:shd w:val="clear" w:color="auto" w:fill="F2F2F2"/>
                </w:tcPr>
                <w:p w:rsidR="0035082C" w:rsidRPr="0035082C" w:rsidRDefault="0035082C" w:rsidP="0035082C">
                  <w:pPr>
                    <w:spacing w:before="120" w:after="0" w:line="240" w:lineRule="auto"/>
                    <w:jc w:val="center"/>
                    <w:rPr>
                      <w:rFonts w:ascii="Arial" w:eastAsia="Times New Roman" w:hAnsi="Arial" w:cs="Arial"/>
                      <w:b/>
                      <w:sz w:val="18"/>
                      <w:szCs w:val="18"/>
                      <w:lang w:eastAsia="hr-HR"/>
                    </w:rPr>
                  </w:pPr>
                  <w:r w:rsidRPr="0035082C">
                    <w:rPr>
                      <w:rFonts w:ascii="Arial" w:eastAsia="Times New Roman" w:hAnsi="Arial" w:cs="Arial"/>
                      <w:b/>
                      <w:sz w:val="18"/>
                      <w:szCs w:val="18"/>
                      <w:lang w:eastAsia="hr-HR"/>
                    </w:rPr>
                    <w:t>Jedinica</w:t>
                  </w:r>
                </w:p>
              </w:tc>
              <w:tc>
                <w:tcPr>
                  <w:tcW w:w="1435"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Polazna vrijednost</w:t>
                  </w:r>
                </w:p>
              </w:tc>
              <w:tc>
                <w:tcPr>
                  <w:tcW w:w="1015"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Izvor podataka</w:t>
                  </w:r>
                </w:p>
              </w:tc>
              <w:tc>
                <w:tcPr>
                  <w:tcW w:w="1283"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Ciljana vrijednost 2023.</w:t>
                  </w:r>
                </w:p>
              </w:tc>
              <w:tc>
                <w:tcPr>
                  <w:tcW w:w="1283"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Ciljana vrijednost 2024.</w:t>
                  </w:r>
                </w:p>
              </w:tc>
              <w:tc>
                <w:tcPr>
                  <w:tcW w:w="1283" w:type="dxa"/>
                  <w:shd w:val="clear" w:color="auto" w:fill="F2F2F2"/>
                  <w:vAlign w:val="center"/>
                </w:tcPr>
                <w:p w:rsidR="0035082C" w:rsidRPr="0035082C" w:rsidRDefault="0035082C" w:rsidP="0035082C">
                  <w:pPr>
                    <w:keepNext/>
                    <w:spacing w:after="0" w:line="240" w:lineRule="auto"/>
                    <w:jc w:val="center"/>
                    <w:outlineLvl w:val="6"/>
                    <w:rPr>
                      <w:rFonts w:ascii="Arial" w:eastAsia="Times New Roman" w:hAnsi="Arial" w:cs="Arial"/>
                      <w:b/>
                      <w:bCs/>
                      <w:sz w:val="18"/>
                      <w:szCs w:val="18"/>
                      <w:lang w:val="x-none" w:eastAsia="x-none"/>
                    </w:rPr>
                  </w:pPr>
                  <w:r w:rsidRPr="0035082C">
                    <w:rPr>
                      <w:rFonts w:ascii="Arial" w:eastAsia="Times New Roman" w:hAnsi="Arial" w:cs="Arial"/>
                      <w:b/>
                      <w:bCs/>
                      <w:sz w:val="18"/>
                      <w:szCs w:val="18"/>
                      <w:lang w:val="x-none" w:eastAsia="x-none"/>
                    </w:rPr>
                    <w:t>Ciljana vrijednost 2025.</w:t>
                  </w:r>
                </w:p>
              </w:tc>
            </w:tr>
            <w:tr w:rsidR="0035082C" w:rsidRPr="0035082C" w:rsidTr="0035082C">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Velika zainteresiranost  potencijalnih korisnika za smještaj u naš Dom</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Osigurati kvalitetnu uslugu, urediti unutrašnjost Doma kako bi uvijek mogli imati veliku zainteresiranost</w:t>
                  </w:r>
                </w:p>
              </w:tc>
              <w:tc>
                <w:tcPr>
                  <w:tcW w:w="107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Broj korisnika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2.370</w:t>
                  </w:r>
                </w:p>
              </w:tc>
              <w:tc>
                <w:tcPr>
                  <w:tcW w:w="101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Dom</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2.370</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2.375</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2.380</w:t>
                  </w:r>
                </w:p>
              </w:tc>
            </w:tr>
            <w:tr w:rsidR="0035082C" w:rsidRPr="0035082C" w:rsidTr="0035082C">
              <w:tc>
                <w:tcPr>
                  <w:tcW w:w="1485"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Rashodi za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zaposlene i</w:t>
                  </w:r>
                </w:p>
                <w:p w:rsidR="0035082C" w:rsidRPr="0035082C" w:rsidRDefault="0035082C" w:rsidP="0035082C">
                  <w:pPr>
                    <w:spacing w:after="0" w:line="240" w:lineRule="auto"/>
                    <w:ind w:hanging="42"/>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rashodi za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materijalna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prava   zaposlenih</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Praćenje datuma isplate plaće u toku godine</w:t>
                  </w:r>
                </w:p>
              </w:tc>
              <w:tc>
                <w:tcPr>
                  <w:tcW w:w="107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rashoda za zaposlene je najkasnije 15. u tekućem mjesecu za prethodni</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Obračun plaće radnika</w:t>
                  </w:r>
                </w:p>
              </w:tc>
              <w:tc>
                <w:tcPr>
                  <w:tcW w:w="101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c>
                <w:tcPr>
                  <w:tcW w:w="1283"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isplate plaće najkasnije do 15. u tekućem mjesecu za prethodni</w:t>
                  </w:r>
                </w:p>
              </w:tc>
            </w:tr>
            <w:tr w:rsidR="0035082C" w:rsidRPr="0035082C" w:rsidTr="0035082C">
              <w:trPr>
                <w:trHeight w:val="2218"/>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Rashodi za materijal i energiju, rashodi za usluge, financijski rashodi</w:t>
                  </w:r>
                </w:p>
                <w:p w:rsidR="0035082C" w:rsidRPr="0035082C" w:rsidRDefault="0035082C" w:rsidP="0035082C">
                  <w:pPr>
                    <w:spacing w:before="120" w:after="0" w:line="240" w:lineRule="auto"/>
                    <w:ind w:firstLine="709"/>
                    <w:jc w:val="center"/>
                    <w:rPr>
                      <w:rFonts w:ascii="Arial" w:eastAsia="Times New Roman" w:hAnsi="Arial" w:cs="Arial"/>
                      <w:sz w:val="18"/>
                      <w:szCs w:val="18"/>
                      <w:lang w:eastAsia="hr-HR"/>
                    </w:rPr>
                  </w:pP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Datum plaćanja računa jednak je datumu dospijeća računa dobavljača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Datum</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plaćanja</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računa manji</w:t>
                  </w:r>
                  <w:r w:rsidRPr="0035082C">
                    <w:rPr>
                      <w:rFonts w:ascii="Arial" w:eastAsia="Times New Roman" w:hAnsi="Arial" w:cs="Arial"/>
                      <w:sz w:val="18"/>
                      <w:szCs w:val="18"/>
                      <w:lang w:eastAsia="hr-HR"/>
                    </w:rPr>
                    <w:t xml:space="preserve"> </w:t>
                  </w:r>
                  <w:r w:rsidRPr="0035082C">
                    <w:rPr>
                      <w:rFonts w:ascii="Arial" w:eastAsia="Times New Roman" w:hAnsi="Arial" w:cs="Arial"/>
                      <w:color w:val="000000"/>
                      <w:sz w:val="18"/>
                      <w:szCs w:val="18"/>
                      <w:lang w:eastAsia="hr-HR"/>
                    </w:rPr>
                    <w:t>je ili jednaki</w:t>
                  </w:r>
                </w:p>
                <w:p w:rsidR="0035082C" w:rsidRPr="0035082C" w:rsidRDefault="0035082C" w:rsidP="0035082C">
                  <w:pPr>
                    <w:spacing w:after="0" w:line="240" w:lineRule="auto"/>
                    <w:jc w:val="center"/>
                    <w:rPr>
                      <w:rFonts w:ascii="Arial" w:eastAsia="Times New Roman" w:hAnsi="Arial" w:cs="Arial"/>
                      <w:sz w:val="18"/>
                      <w:szCs w:val="18"/>
                      <w:lang w:eastAsia="hr-HR"/>
                    </w:rPr>
                  </w:pPr>
                  <w:r w:rsidRPr="0035082C">
                    <w:rPr>
                      <w:rFonts w:ascii="Arial" w:eastAsia="Times New Roman" w:hAnsi="Arial" w:cs="Arial"/>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Arial" w:eastAsia="Times New Roman" w:hAnsi="Arial" w:cs="Arial"/>
                      <w:color w:val="000000"/>
                      <w:sz w:val="18"/>
                      <w:szCs w:val="18"/>
                      <w:lang w:eastAsia="hr-HR"/>
                    </w:rPr>
                    <w:t>valute računa</w:t>
                  </w:r>
                  <w:r w:rsidRPr="0035082C">
                    <w:rPr>
                      <w:rFonts w:ascii="Arial" w:eastAsia="Times New Roman" w:hAnsi="Arial" w:cs="Arial"/>
                      <w:sz w:val="18"/>
                      <w:szCs w:val="18"/>
                      <w:lang w:eastAsia="hr-HR"/>
                    </w:rPr>
                    <w:t xml:space="preserve"> </w:t>
                  </w:r>
                  <w:r w:rsidRPr="0035082C">
                    <w:rPr>
                      <w:rFonts w:ascii="Arial" w:eastAsia="Times New Roman" w:hAnsi="Arial" w:cs="Arial"/>
                      <w:color w:val="000000"/>
                      <w:sz w:val="18"/>
                      <w:szCs w:val="18"/>
                      <w:lang w:eastAsia="hr-HR"/>
                    </w:rPr>
                    <w:t>dobavljača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7"/>
                      <w:szCs w:val="17"/>
                      <w:lang w:eastAsia="hr-HR"/>
                    </w:rPr>
                  </w:pPr>
                  <w:r w:rsidRPr="0035082C">
                    <w:rPr>
                      <w:rFonts w:ascii="Arial" w:eastAsia="Times New Roman" w:hAnsi="Arial" w:cs="Arial"/>
                      <w:sz w:val="17"/>
                      <w:szCs w:val="17"/>
                      <w:lang w:eastAsia="hr-HR"/>
                    </w:rPr>
                    <w:t>Knjigovodstvo</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računa</w:t>
                  </w:r>
                  <w:r w:rsidRPr="0035082C">
                    <w:rPr>
                      <w:rFonts w:ascii="Times New Roman" w:eastAsia="Times New Roman" w:hAnsi="Times New Roman" w:cs="Times New Roman"/>
                      <w:sz w:val="18"/>
                      <w:szCs w:val="18"/>
                      <w:lang w:eastAsia="hr-HR"/>
                    </w:rPr>
                    <w:t xml:space="preserve"> </w:t>
                  </w:r>
                  <w:r w:rsidRPr="0035082C">
                    <w:rPr>
                      <w:rFonts w:ascii="Times New Roman" w:eastAsia="Times New Roman" w:hAnsi="Times New Roman" w:cs="Times New Roman"/>
                      <w:color w:val="000000"/>
                      <w:sz w:val="18"/>
                      <w:szCs w:val="18"/>
                      <w:lang w:eastAsia="hr-HR"/>
                    </w:rPr>
                    <w:t>dobavljača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plaćanja</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računa manji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je ili jednaki</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datumu</w:t>
                  </w:r>
                </w:p>
                <w:p w:rsidR="0035082C" w:rsidRPr="0035082C" w:rsidRDefault="0035082C" w:rsidP="0035082C">
                  <w:pPr>
                    <w:spacing w:after="0" w:line="240" w:lineRule="auto"/>
                    <w:jc w:val="center"/>
                    <w:rPr>
                      <w:rFonts w:ascii="Times New Roman" w:eastAsia="Times New Roman" w:hAnsi="Times New Roman" w:cs="Times New Roman"/>
                      <w:sz w:val="18"/>
                      <w:szCs w:val="18"/>
                      <w:lang w:eastAsia="hr-HR"/>
                    </w:rPr>
                  </w:pPr>
                  <w:r w:rsidRPr="0035082C">
                    <w:rPr>
                      <w:rFonts w:ascii="Times New Roman" w:eastAsia="Times New Roman" w:hAnsi="Times New Roman" w:cs="Times New Roman"/>
                      <w:color w:val="000000"/>
                      <w:sz w:val="18"/>
                      <w:szCs w:val="18"/>
                      <w:lang w:eastAsia="hr-HR"/>
                    </w:rPr>
                    <w:t>valute račun dobavljača</w:t>
                  </w:r>
                </w:p>
              </w:tc>
            </w:tr>
            <w:tr w:rsidR="0035082C" w:rsidRPr="0035082C" w:rsidTr="0035082C">
              <w:trPr>
                <w:trHeight w:val="956"/>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Nabava nefinancijske imovine</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Popis prioriteta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color w:val="000000"/>
                      <w:sz w:val="18"/>
                      <w:szCs w:val="18"/>
                      <w:lang w:eastAsia="hr-HR"/>
                    </w:rPr>
                  </w:pPr>
                  <w:r w:rsidRPr="0035082C">
                    <w:rPr>
                      <w:rFonts w:ascii="Arial" w:eastAsia="Times New Roman" w:hAnsi="Arial" w:cs="Arial"/>
                      <w:color w:val="000000"/>
                      <w:sz w:val="18"/>
                      <w:szCs w:val="18"/>
                      <w:lang w:eastAsia="hr-HR"/>
                    </w:rPr>
                    <w:t>Iskazana potreba u Popisu prioriteta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Inventura</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Sva oprema je u  funkciji</w:t>
                  </w:r>
                </w:p>
              </w:tc>
            </w:tr>
            <w:tr w:rsidR="0035082C" w:rsidRPr="0035082C" w:rsidTr="0035082C">
              <w:trPr>
                <w:trHeight w:val="2218"/>
              </w:trPr>
              <w:tc>
                <w:tcPr>
                  <w:tcW w:w="148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Poboljšanje kvalitete rada stručnim usavršavanjem radnika</w:t>
                  </w:r>
                </w:p>
              </w:tc>
              <w:tc>
                <w:tcPr>
                  <w:tcW w:w="1485" w:type="dxa"/>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Times New Roman" w:eastAsia="Times New Roman" w:hAnsi="Times New Roman" w:cs="Times New Roman"/>
                      <w:color w:val="000000"/>
                      <w:sz w:val="18"/>
                      <w:szCs w:val="18"/>
                      <w:lang w:eastAsia="hr-HR"/>
                    </w:rPr>
                    <w:t>Sudjelovanjem radnika na stručnim usavršavanjima povećava se kvaliteta usluge koju ustanova pruža svojim korisnicima</w:t>
                  </w:r>
                </w:p>
              </w:tc>
              <w:tc>
                <w:tcPr>
                  <w:tcW w:w="1075" w:type="dxa"/>
                  <w:shd w:val="clear" w:color="auto" w:fill="auto"/>
                  <w:vAlign w:val="center"/>
                </w:tcPr>
                <w:p w:rsidR="0035082C" w:rsidRPr="0035082C" w:rsidRDefault="0035082C" w:rsidP="0035082C">
                  <w:pPr>
                    <w:spacing w:after="0" w:line="240" w:lineRule="auto"/>
                    <w:jc w:val="center"/>
                    <w:rPr>
                      <w:rFonts w:ascii="Arial" w:eastAsia="Times New Roman" w:hAnsi="Arial" w:cs="Arial"/>
                      <w:color w:val="000000"/>
                      <w:sz w:val="18"/>
                      <w:szCs w:val="18"/>
                      <w:lang w:eastAsia="hr-HR"/>
                    </w:rPr>
                  </w:pPr>
                  <w:r w:rsidRPr="0035082C">
                    <w:rPr>
                      <w:rFonts w:ascii="Arial" w:eastAsia="Times New Roman" w:hAnsi="Arial" w:cs="Arial"/>
                      <w:color w:val="000000"/>
                      <w:sz w:val="18"/>
                      <w:szCs w:val="18"/>
                      <w:lang w:eastAsia="hr-HR"/>
                    </w:rPr>
                    <w:t>Broj edukacija</w:t>
                  </w:r>
                </w:p>
              </w:tc>
              <w:tc>
                <w:tcPr>
                  <w:tcW w:w="1435" w:type="dxa"/>
                  <w:shd w:val="clear" w:color="auto" w:fill="auto"/>
                  <w:vAlign w:val="center"/>
                </w:tcPr>
                <w:p w:rsidR="0035082C" w:rsidRPr="0035082C" w:rsidRDefault="0035082C" w:rsidP="0035082C">
                  <w:pPr>
                    <w:spacing w:before="120" w:after="0" w:line="240" w:lineRule="auto"/>
                    <w:jc w:val="center"/>
                    <w:rPr>
                      <w:rFonts w:ascii="Arial" w:eastAsia="Times New Roman" w:hAnsi="Arial" w:cs="Arial"/>
                      <w:sz w:val="18"/>
                      <w:szCs w:val="18"/>
                      <w:lang w:eastAsia="hr-HR"/>
                    </w:rPr>
                  </w:pPr>
                  <w:r w:rsidRPr="0035082C">
                    <w:rPr>
                      <w:rFonts w:ascii="Arial" w:eastAsia="Times New Roman" w:hAnsi="Arial" w:cs="Arial"/>
                      <w:sz w:val="18"/>
                      <w:szCs w:val="18"/>
                      <w:lang w:eastAsia="hr-HR"/>
                    </w:rPr>
                    <w:t>Povećan broj radnika na stručnom usavršavanju</w:t>
                  </w:r>
                </w:p>
              </w:tc>
              <w:tc>
                <w:tcPr>
                  <w:tcW w:w="1015" w:type="dxa"/>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Dom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c>
                <w:tcPr>
                  <w:tcW w:w="1283" w:type="dxa"/>
                  <w:shd w:val="clear" w:color="auto" w:fill="auto"/>
                  <w:vAlign w:val="center"/>
                </w:tcPr>
                <w:p w:rsidR="0035082C" w:rsidRPr="0035082C" w:rsidRDefault="0035082C" w:rsidP="0035082C">
                  <w:pPr>
                    <w:spacing w:after="0" w:line="240" w:lineRule="auto"/>
                    <w:jc w:val="center"/>
                    <w:rPr>
                      <w:rFonts w:ascii="Times New Roman" w:eastAsia="Times New Roman" w:hAnsi="Times New Roman" w:cs="Times New Roman"/>
                      <w:color w:val="000000"/>
                      <w:sz w:val="18"/>
                      <w:szCs w:val="18"/>
                      <w:lang w:eastAsia="hr-HR"/>
                    </w:rPr>
                  </w:pPr>
                  <w:r w:rsidRPr="0035082C">
                    <w:rPr>
                      <w:rFonts w:ascii="Times New Roman" w:eastAsia="Times New Roman" w:hAnsi="Times New Roman" w:cs="Times New Roman"/>
                      <w:color w:val="000000"/>
                      <w:sz w:val="18"/>
                      <w:szCs w:val="18"/>
                      <w:lang w:eastAsia="hr-HR"/>
                    </w:rPr>
                    <w:t>Većina radnika obuhvaćena stručnim usavršavanjem</w:t>
                  </w:r>
                </w:p>
              </w:tc>
            </w:tr>
          </w:tbl>
          <w:p w:rsidR="0035082C" w:rsidRPr="0035082C" w:rsidRDefault="0035082C" w:rsidP="0035082C">
            <w:pPr>
              <w:spacing w:before="120" w:after="0" w:line="240" w:lineRule="auto"/>
              <w:ind w:right="57"/>
              <w:jc w:val="both"/>
              <w:rPr>
                <w:rFonts w:ascii="Arial" w:eastAsia="Times New Roman" w:hAnsi="Arial" w:cs="Arial"/>
                <w:color w:val="000000"/>
                <w:sz w:val="18"/>
                <w:szCs w:val="18"/>
                <w:lang w:eastAsia="hr-HR"/>
              </w:rPr>
            </w:pPr>
          </w:p>
        </w:tc>
      </w:tr>
    </w:tbl>
    <w:p w:rsidR="00036AF2" w:rsidRDefault="00036AF2" w:rsidP="0035082C">
      <w:pPr>
        <w:spacing w:after="120"/>
        <w:jc w:val="both"/>
        <w:rPr>
          <w:rFonts w:ascii="Times New Roman" w:hAnsi="Times New Roman" w:cs="Times New Roman"/>
          <w:sz w:val="24"/>
          <w:szCs w:val="24"/>
        </w:rPr>
      </w:pPr>
    </w:p>
    <w:p w:rsidR="00531413" w:rsidRDefault="00531413" w:rsidP="0035082C">
      <w:pPr>
        <w:spacing w:after="120"/>
        <w:jc w:val="both"/>
        <w:rPr>
          <w:rFonts w:ascii="Times New Roman" w:hAnsi="Times New Roman" w:cs="Times New Roman"/>
          <w:sz w:val="24"/>
          <w:szCs w:val="24"/>
        </w:rPr>
      </w:pPr>
    </w:p>
    <w:p w:rsidR="00E35876" w:rsidRDefault="009D51D2" w:rsidP="0035082C">
      <w:pPr>
        <w:spacing w:after="120"/>
        <w:jc w:val="both"/>
        <w:rPr>
          <w:rFonts w:ascii="Times New Roman" w:hAnsi="Times New Roman" w:cs="Times New Roman"/>
          <w:sz w:val="24"/>
          <w:szCs w:val="24"/>
        </w:rPr>
      </w:pPr>
      <w:r>
        <w:rPr>
          <w:rFonts w:ascii="Times New Roman" w:hAnsi="Times New Roman" w:cs="Times New Roman"/>
          <w:sz w:val="24"/>
          <w:szCs w:val="24"/>
        </w:rPr>
        <w:t>URBROJ: 2186-1-25/01-22/</w:t>
      </w:r>
      <w:r w:rsidR="00531413">
        <w:rPr>
          <w:rFonts w:ascii="Times New Roman" w:hAnsi="Times New Roman" w:cs="Times New Roman"/>
          <w:sz w:val="24"/>
          <w:szCs w:val="24"/>
        </w:rPr>
        <w:t>3-31-1</w:t>
      </w:r>
    </w:p>
    <w:p w:rsidR="009D51D2" w:rsidRDefault="009D51D2" w:rsidP="0035082C">
      <w:pPr>
        <w:spacing w:after="120"/>
        <w:jc w:val="both"/>
        <w:rPr>
          <w:rFonts w:ascii="Times New Roman" w:hAnsi="Times New Roman" w:cs="Times New Roman"/>
          <w:sz w:val="24"/>
          <w:szCs w:val="24"/>
        </w:rPr>
      </w:pPr>
      <w:r>
        <w:rPr>
          <w:rFonts w:ascii="Times New Roman" w:hAnsi="Times New Roman" w:cs="Times New Roman"/>
          <w:sz w:val="24"/>
          <w:szCs w:val="24"/>
        </w:rPr>
        <w:t>U Varaždinu, 29.12.2022.</w:t>
      </w:r>
    </w:p>
    <w:p w:rsidR="00531413" w:rsidRDefault="00531413" w:rsidP="0035082C">
      <w:pPr>
        <w:spacing w:after="120"/>
        <w:jc w:val="both"/>
        <w:rPr>
          <w:rFonts w:ascii="Times New Roman" w:hAnsi="Times New Roman" w:cs="Times New Roman"/>
          <w:sz w:val="24"/>
          <w:szCs w:val="24"/>
        </w:rPr>
      </w:pPr>
    </w:p>
    <w:p w:rsidR="00E35876" w:rsidRPr="00E35876" w:rsidRDefault="00E35876" w:rsidP="0035082C">
      <w:pPr>
        <w:spacing w:after="120"/>
        <w:jc w:val="both"/>
        <w:rPr>
          <w:rFonts w:ascii="Times New Roman" w:hAnsi="Times New Roman" w:cs="Times New Roman"/>
          <w:sz w:val="24"/>
          <w:szCs w:val="24"/>
        </w:rPr>
      </w:pPr>
    </w:p>
    <w:p w:rsidR="00E35876" w:rsidRPr="00E35876" w:rsidRDefault="00E35876" w:rsidP="00E35876">
      <w:pPr>
        <w:spacing w:after="180" w:line="240" w:lineRule="auto"/>
        <w:ind w:left="4956" w:firstLine="708"/>
        <w:jc w:val="both"/>
        <w:rPr>
          <w:rFonts w:ascii="Times New Roman" w:eastAsia="Times New Roman" w:hAnsi="Times New Roman" w:cs="Times New Roman"/>
          <w:sz w:val="24"/>
          <w:szCs w:val="24"/>
          <w:lang w:eastAsia="hr-HR"/>
        </w:rPr>
      </w:pPr>
      <w:r w:rsidRPr="00E35876">
        <w:rPr>
          <w:rFonts w:ascii="Times New Roman" w:eastAsia="Times New Roman" w:hAnsi="Times New Roman" w:cs="Times New Roman"/>
          <w:sz w:val="24"/>
          <w:szCs w:val="24"/>
          <w:lang w:eastAsia="hr-HR"/>
        </w:rPr>
        <w:t>Predsjednica Upravnog vijeća:</w:t>
      </w:r>
    </w:p>
    <w:p w:rsidR="00E35876" w:rsidRPr="00E35876" w:rsidRDefault="00E35876" w:rsidP="00E35876">
      <w:pPr>
        <w:spacing w:after="0" w:line="240" w:lineRule="auto"/>
        <w:jc w:val="both"/>
        <w:rPr>
          <w:rFonts w:ascii="Times New Roman" w:eastAsia="Times New Roman" w:hAnsi="Times New Roman" w:cs="Times New Roman"/>
          <w:sz w:val="24"/>
          <w:szCs w:val="24"/>
          <w:lang w:eastAsia="hr-HR"/>
        </w:rPr>
      </w:pP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r>
      <w:r w:rsidRPr="00E35876">
        <w:rPr>
          <w:rFonts w:ascii="Times New Roman" w:eastAsia="Times New Roman" w:hAnsi="Times New Roman" w:cs="Times New Roman"/>
          <w:sz w:val="24"/>
          <w:szCs w:val="24"/>
          <w:lang w:eastAsia="hr-HR"/>
        </w:rPr>
        <w:tab/>
        <w:t xml:space="preserve">                   Ruža Jelovac, dipl.oec.</w:t>
      </w:r>
    </w:p>
    <w:p w:rsidR="00E35876" w:rsidRPr="00E35876" w:rsidRDefault="00E35876" w:rsidP="0035082C">
      <w:pPr>
        <w:spacing w:after="120"/>
        <w:jc w:val="both"/>
        <w:rPr>
          <w:rFonts w:ascii="Times New Roman" w:hAnsi="Times New Roman" w:cs="Times New Roman"/>
          <w:sz w:val="24"/>
          <w:szCs w:val="24"/>
        </w:rPr>
      </w:pPr>
    </w:p>
    <w:sectPr w:rsidR="00E35876" w:rsidRPr="00E35876" w:rsidSect="00FB4269">
      <w:pgSz w:w="11906" w:h="16838" w:code="9"/>
      <w:pgMar w:top="1418" w:right="155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0C78"/>
    <w:multiLevelType w:val="hybridMultilevel"/>
    <w:tmpl w:val="F50449A4"/>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nsid w:val="1A321565"/>
    <w:multiLevelType w:val="hybridMultilevel"/>
    <w:tmpl w:val="366899DC"/>
    <w:lvl w:ilvl="0" w:tplc="40E620D8">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nsid w:val="1A574340"/>
    <w:multiLevelType w:val="hybridMultilevel"/>
    <w:tmpl w:val="539C05BA"/>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nsid w:val="24EE0133"/>
    <w:multiLevelType w:val="hybridMultilevel"/>
    <w:tmpl w:val="6040F02A"/>
    <w:lvl w:ilvl="0" w:tplc="ABE88C5C">
      <w:numFmt w:val="bullet"/>
      <w:lvlText w:val="•"/>
      <w:lvlJc w:val="left"/>
      <w:pPr>
        <w:ind w:left="1146" w:hanging="360"/>
      </w:pPr>
      <w:rPr>
        <w:rFonts w:ascii="Arial" w:eastAsia="Times New Roman" w:hAnsi="Arial" w:cs="Arial" w:hint="default"/>
        <w:color w:val="00000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4">
    <w:nsid w:val="3B68570F"/>
    <w:multiLevelType w:val="hybridMultilevel"/>
    <w:tmpl w:val="899EDAA8"/>
    <w:lvl w:ilvl="0" w:tplc="52BEA99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2B155A2"/>
    <w:multiLevelType w:val="hybridMultilevel"/>
    <w:tmpl w:val="DE38A228"/>
    <w:lvl w:ilvl="0" w:tplc="ABE88C5C">
      <w:numFmt w:val="bullet"/>
      <w:lvlText w:val="•"/>
      <w:lvlJc w:val="left"/>
      <w:pPr>
        <w:ind w:left="1145" w:hanging="360"/>
      </w:pPr>
      <w:rPr>
        <w:rFonts w:ascii="Arial" w:eastAsia="Times New Roman" w:hAnsi="Arial" w:cs="Arial" w:hint="default"/>
        <w:color w:val="000000"/>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6">
    <w:nsid w:val="6A5D4660"/>
    <w:multiLevelType w:val="hybridMultilevel"/>
    <w:tmpl w:val="AC862B10"/>
    <w:lvl w:ilvl="0" w:tplc="8C82E7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74C16"/>
    <w:multiLevelType w:val="hybridMultilevel"/>
    <w:tmpl w:val="4222979E"/>
    <w:lvl w:ilvl="0" w:tplc="ABE88C5C">
      <w:numFmt w:val="bullet"/>
      <w:lvlText w:val="•"/>
      <w:lvlJc w:val="left"/>
      <w:pPr>
        <w:ind w:left="1004" w:hanging="360"/>
      </w:pPr>
      <w:rPr>
        <w:rFonts w:ascii="Arial" w:eastAsia="Times New Roman" w:hAnsi="Arial" w:cs="Arial" w:hint="default"/>
        <w:color w:val="000000"/>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8">
    <w:nsid w:val="79DA6CF1"/>
    <w:multiLevelType w:val="hybridMultilevel"/>
    <w:tmpl w:val="A3381E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1"/>
  </w:num>
  <w:num w:numId="5">
    <w:abstractNumId w:val="7"/>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92"/>
    <w:rsid w:val="00036AF2"/>
    <w:rsid w:val="00056618"/>
    <w:rsid w:val="00085AC0"/>
    <w:rsid w:val="000E568E"/>
    <w:rsid w:val="00116F29"/>
    <w:rsid w:val="00125A95"/>
    <w:rsid w:val="00194BB5"/>
    <w:rsid w:val="00194E56"/>
    <w:rsid w:val="001C5B5C"/>
    <w:rsid w:val="001D0D63"/>
    <w:rsid w:val="001F5928"/>
    <w:rsid w:val="00250C44"/>
    <w:rsid w:val="002A353B"/>
    <w:rsid w:val="002A7F66"/>
    <w:rsid w:val="00326236"/>
    <w:rsid w:val="0035082C"/>
    <w:rsid w:val="00354E89"/>
    <w:rsid w:val="00426CF5"/>
    <w:rsid w:val="00482B3E"/>
    <w:rsid w:val="004D23D0"/>
    <w:rsid w:val="00524FEB"/>
    <w:rsid w:val="00531413"/>
    <w:rsid w:val="00555592"/>
    <w:rsid w:val="00580EF7"/>
    <w:rsid w:val="005D77E2"/>
    <w:rsid w:val="005F38FB"/>
    <w:rsid w:val="006175CA"/>
    <w:rsid w:val="006455E6"/>
    <w:rsid w:val="00691E32"/>
    <w:rsid w:val="006C68AD"/>
    <w:rsid w:val="006E2876"/>
    <w:rsid w:val="00733A5C"/>
    <w:rsid w:val="0074125F"/>
    <w:rsid w:val="007F7347"/>
    <w:rsid w:val="00827599"/>
    <w:rsid w:val="0082775A"/>
    <w:rsid w:val="0084251A"/>
    <w:rsid w:val="00922972"/>
    <w:rsid w:val="009267D8"/>
    <w:rsid w:val="00954DE9"/>
    <w:rsid w:val="009C4BF6"/>
    <w:rsid w:val="009D51D2"/>
    <w:rsid w:val="009E6CB1"/>
    <w:rsid w:val="00A11AEA"/>
    <w:rsid w:val="00AC4C21"/>
    <w:rsid w:val="00B2305E"/>
    <w:rsid w:val="00B27F33"/>
    <w:rsid w:val="00B41883"/>
    <w:rsid w:val="00B76812"/>
    <w:rsid w:val="00B776E3"/>
    <w:rsid w:val="00B95ADA"/>
    <w:rsid w:val="00BA04E0"/>
    <w:rsid w:val="00BB15AC"/>
    <w:rsid w:val="00BF48F6"/>
    <w:rsid w:val="00C2703C"/>
    <w:rsid w:val="00C50B2D"/>
    <w:rsid w:val="00C65C36"/>
    <w:rsid w:val="00C847B5"/>
    <w:rsid w:val="00CE19EE"/>
    <w:rsid w:val="00D01139"/>
    <w:rsid w:val="00D2383D"/>
    <w:rsid w:val="00D50432"/>
    <w:rsid w:val="00D85291"/>
    <w:rsid w:val="00DF08A0"/>
    <w:rsid w:val="00E16B18"/>
    <w:rsid w:val="00E26F60"/>
    <w:rsid w:val="00E34B80"/>
    <w:rsid w:val="00E35876"/>
    <w:rsid w:val="00F04C3C"/>
    <w:rsid w:val="00F60555"/>
    <w:rsid w:val="00F7697C"/>
    <w:rsid w:val="00F83399"/>
    <w:rsid w:val="00FB3430"/>
    <w:rsid w:val="00FB4269"/>
    <w:rsid w:val="00FE53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5592"/>
    <w:pPr>
      <w:ind w:left="720"/>
      <w:contextualSpacing/>
    </w:pPr>
  </w:style>
  <w:style w:type="paragraph" w:styleId="Bezproreda">
    <w:name w:val="No Spacing"/>
    <w:uiPriority w:val="1"/>
    <w:qFormat/>
    <w:rsid w:val="00DF08A0"/>
    <w:pPr>
      <w:spacing w:after="0" w:line="240" w:lineRule="auto"/>
    </w:pPr>
  </w:style>
  <w:style w:type="paragraph" w:styleId="Tekstbalonia">
    <w:name w:val="Balloon Text"/>
    <w:basedOn w:val="Normal"/>
    <w:link w:val="TekstbaloniaChar"/>
    <w:uiPriority w:val="99"/>
    <w:semiHidden/>
    <w:unhideWhenUsed/>
    <w:rsid w:val="00354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E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3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5592"/>
    <w:pPr>
      <w:ind w:left="720"/>
      <w:contextualSpacing/>
    </w:pPr>
  </w:style>
  <w:style w:type="paragraph" w:styleId="Bezproreda">
    <w:name w:val="No Spacing"/>
    <w:uiPriority w:val="1"/>
    <w:qFormat/>
    <w:rsid w:val="00DF08A0"/>
    <w:pPr>
      <w:spacing w:after="0" w:line="240" w:lineRule="auto"/>
    </w:pPr>
  </w:style>
  <w:style w:type="paragraph" w:styleId="Tekstbalonia">
    <w:name w:val="Balloon Text"/>
    <w:basedOn w:val="Normal"/>
    <w:link w:val="TekstbaloniaChar"/>
    <w:uiPriority w:val="99"/>
    <w:semiHidden/>
    <w:unhideWhenUsed/>
    <w:rsid w:val="00354E8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E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2548</Words>
  <Characters>14524</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81</cp:revision>
  <cp:lastPrinted>2022-12-28T07:40:00Z</cp:lastPrinted>
  <dcterms:created xsi:type="dcterms:W3CDTF">2022-12-27T07:37:00Z</dcterms:created>
  <dcterms:modified xsi:type="dcterms:W3CDTF">2022-12-28T12:54:00Z</dcterms:modified>
</cp:coreProperties>
</file>